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062.0" w:type="dxa"/>
        <w:jc w:val="left"/>
        <w:tblInd w:w="-108.0" w:type="dxa"/>
        <w:tblLayout w:type="fixed"/>
        <w:tblLook w:val="0000"/>
      </w:tblPr>
      <w:tblGrid>
        <w:gridCol w:w="6379"/>
        <w:gridCol w:w="4683"/>
        <w:tblGridChange w:id="0">
          <w:tblGrid>
            <w:gridCol w:w="6379"/>
            <w:gridCol w:w="4683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6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6" w:firstLine="36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Приложение 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6" w:firstLine="36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Утверждено приказом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6" w:firstLine="36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ГАОУ ДПО ИРО РТ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6" w:firstLine="36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от 17.04.23 № 242</w:t>
            </w:r>
          </w:p>
        </w:tc>
      </w:tr>
    </w:tbl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Положение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 республиканском конкурсе лучших образовательных практик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«Педагог начальной школы – наставник»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Общие положения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 Настоящее Положение определяет цель, задачи, порядок и регламент проведения республиканского конкурса лучших образовательных практик «Педагог начальной школы – наставник» (далее – Конкурс).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1.2. Конкурс объявлен в рамках мероприятий, приуроченных к Году педагога и наставника государственным автономным образовательным учреждением дополнительного профессионального образования «Институт развития образования Республики Татарстан» (далее — Институт), действующим на основании Устава (приказ Министерства образования и науки Республики Татарстан от 04.03.2014 № 46-к), лицензии от 18.11.2011, серия РТ № 001338, регистрационный № 249, выданной Министерством образования и науки Республики Татарстан.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1.3. Для организации, проведения Конкурса, оценивания конкурсных работ создаются оргкомитет и жюри.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1.4.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Конкурс проводится в условиях реализации задач Указа Президента Российской Федерации от 27.06.2022 № 401 «О проведении в Российской Федерации Года педагога и наставника».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1.5.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Информация о Конкурсе размещается на официальном сайте Института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http://irort.ru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Цель и задачи Конкурса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 Цель Конкурса – повышение профессионального мастерства педагогов, работающих в сфере начального образования.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 Задачи Конкурса: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выявление и отбор лучших практик наставничества в системе начального образования;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пропаганда движения наставничества, поддержка и развитие различных моделей наставничества;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повышение социального статуса учителя начальных классов.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Участники Конкурса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 К участию в Конкурсе допускаются учителя начальных классов; педагоги групп продленного дня; педагоги дополнительного образования, работающие с младшими школьниками; методисты отделов образования, курирующие начальное образование; воспитатели ДОО; учителя-предметники 5-х классов; студенты педагогических специальностей. Ограничений по возрасту и педагогическому стажу участников Конкурса нет.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Сроки и порядок проведения Конкурса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4.1. Конкурс проводится в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заочной форме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по следующим номинациям (Приложение 1): 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1) Модель «Опытный – молодому».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2) Модель «Молодой – молодому».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3) Модель «Педагог – педагогу».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4) Модель «Наставник +».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5) Модель «Интернет-наставник».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6) Модель «Наставник-методист».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4.2. Для участия в Конкурсе необходимо оплатить организационный взнос в размере 800 руб. на один продукт. Количество авторов-разработчиков на один продукт – 1-2 чел.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4.3. Участники Конкурса в срок с 24 апреля по 15 мая 2023 года заполняют заявку по ссылке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https://forms.gle/paUyTMgewv9L3MoY7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отправляют конкурсную работу и отсканированную квитанцию об оплате (Приложение 2) в электронном виде на адрес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0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sagiltal2022@mail.ru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с пометкой Номинация Фамилия ИО участника (н-р,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Опытный-молодому, Иванов А.Б.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4.4. Конкурс проводится в три этапа: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этап: с 24 апреля по 15 мая 2023 г. – прием конкурсных материалов;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 этап: с 16 по 20 мая 2023 г. – работа жюри Конкурса;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III этап: с 22 по 24 мая 2023 г. – подведение итогов Конкурса.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25 мая 2023 г. на официальном сайте Института будут размещены результаты Конкурса.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Требования к оформлению конкурсной работы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5.1. Формат документа *.doc (А4), шрифт Times New Roman, кегль – 14, межстрочный интервал – одинарный. Все поля – 2 см, абзацные отступы (красная строка) – 1,25 см. Выравнивание текста – по ширине.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5.2. На Конкурс могут быть присланы материалы, оформленные в виде текста, презентации PowerPoint (не более 15 слайдов), видеоматериалов, графических изображений и рисунков (возможны ссылки).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5.3. Необходимо соблюдение законодательства об авторском праве (есть ссылки на авторов (источники) использованных цитат, фото- и видеоизображений, имеется список использованных источников и литературы).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5.4. Примерная структура конкурсных работ: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О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бщий объем – не более 10 листов (без приложений); объем основной части – не менее половины всей рукописи; объем электронных приложений (при наличии) не лимитируется (ссылки на них в тексте обязательны). Длительность видеоматериала – не более 3 мин; фотоотчет – не более 6 фотографий.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итульный лист (полное наименование образовательной организации в соответствии с Уставом, название Конкурса, номинация, тема работы, фамилия, имя, отчество, должность автора(ов).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Оглавление.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– П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ояснительная записка (актуальность, цели и задачи, портрет участников, ожидаемые результаты и др.).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Основная часть (содержательная часть).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Заключение (результативность практики).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Список использованных источников (не больше 5).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Дополнительные материалы при наличии (приложения при необходимости; возможны ссылки).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 Порядок и регламент оценки конкурсных работ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6.1. Для экспертизы, оценки конкурсных материалов и подведения итогов создается жюри Конкурса.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6.2. Присланные на Конкурс работы не возвращаются, рецензии авторам не выдаются, апелляции не принимаются. Во время проведения Конкурса замена работ, приложений к ним не производится.  Решение жюри является окончательным и пересмотру не подлежит.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6.3. Не принимаются материалы, которые были опубликованы ранее или участвовали в других конкурсах и заняли призовые места. Конкурсные материалы могут быть новыми или уже прошедшими апробацию.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6.4. Разработки проверяются на плагиат (заимствование) и аннулируются, если не подтверждают авторство (степень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оригинальности должна быть не менее 70%).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6.5. Конкурсные материалы оцениваются по балльной системе на основе следующих показателей: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0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28"/>
        <w:gridCol w:w="7380"/>
        <w:gridCol w:w="900"/>
        <w:tblGridChange w:id="0">
          <w:tblGrid>
            <w:gridCol w:w="1728"/>
            <w:gridCol w:w="7380"/>
            <w:gridCol w:w="90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Наименование показателя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Критерии оценки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Оценка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Содержательность практики 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c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соответствие практики теме, цели и задачам Конкурса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 – 5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соответствие содержания практики ожидаемым и достигнутым результатам  наставничества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 – 5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глубина содержательного наполнения практики, понимание ценностных ориентиров наставнической деятельности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 – 5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раскрытие механизмов совместной деятельности наставнической пары (учет возможности развития каждого субъекта наставнической пары в ожидаемых/достигнутых результатах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 – 5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оригинальность раскрытия темы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(авторские идеи, формула профессионального успеха наставнической пары)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 – 5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1a1a1a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актуальность, п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1a1a1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роблемность и практическая значимость практики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 – 5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использование инновационных форм и методов работы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 – 5</w:t>
            </w:r>
          </w:p>
        </w:tc>
      </w:tr>
      <w:tr>
        <w:trPr>
          <w:cantSplit w:val="1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Результативность практики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наличие качественных и количественных показателей результатов практики, динамики результатов; возможность распространения практики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 – 5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наличие дополнительных материалов (фото, отражающие процесс реализации практики; документы, подтверждающие участие в иных мероприятиях по итогам практики наставничества)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 – 5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Оформление практики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соответствие конкурсных материалов техническим требованиям; языковая грамотность, эстетичность; качество и художественная подача видеоматериалов при наличии (грамотное использование редакторов, спецэффектов, визуальных образов, анимации; музыкальное сопровождение, качество звука и т.д.)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 – 5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Особое мнение эксперта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– 5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Максимальное количество баллов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 Подведение итогов Конкурса и награждение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7.1. По итогам Конкурса определяются победители (I, II, III место) и лауреаты в каждой номинации. При равенстве набранных баллов определяется несколько победителей. 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7.2. Победители и призеры награждаются дипломами 1, 2, 3 степени. Конкурсанты, не вошедшие в число победителей и лауреатов, получают сертификаты участников. 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7.3. Жюри имеет право дополнительно отметить оригинальные работы, заслуживающие особого внимания. В случае учреждения дополнительных номинаций победители награждаются дипломами.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7.4. Лучшие работы будут рекомендованы к публикации в периодических изданиях Института.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7.5. Информация об итогах Конкурса размещается на официальном сайте Института http://irort.ru. 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7.6. Дипломы и сертификаты предоставляются в электронном виде в PDF-формате (сертификаты и дипломы оформляются по данным полученных заявок, замене не подлежат). Они будут размещены по итогам Конкурса в сервисе «Яндекс. Диск» по ссылке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https://disk.yandex.ru/client/disk/%D0%A1%D0%B5%D1%80%D1%82%D0%B8%D1%84%D0%B8%D0%BA%D0%B0%D1%82%D1%8B%20%D0%B8%20%D0%B4%D0%B8%D0%BF%D0%BB%D0%BE%D0%BC%D1%8B%20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в папке «Сертификаты и дипломы».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 Особые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8.1. Факт подачи материалов на участие в конкурсном отборе означает согласие участника: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с настоящим Положением; 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на передачу исключительных прав на конкурсные материалы ГАОУ ДПО ИРО РТ, включая право на их обнародование, размещение в средствах массовой информации (Интернет, печатные издания, радио, телевидение, сайт и др.), использование в просветительских и образовательных целях без дополнительного разрешения и без выплаты авторского вознаграждения;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на обработку персональных данных в соответствии с политикой в отношении обработки персональных данных в ГАОУ ДПО ИРО РТ;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8.2. В случае непредвиденных обстоятельств Институт имеет право вносить дополнения или коррективы в настоящее Положение.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Дополнительная информация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по вопросам проведения Конкурса: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Сагдиева Ильсия Талгатовна, старший преподаватель кафедры дошкольного и начального общего образования ГАОУ ДПО «Институт развития образования Республики Татарстан»; тел. 8 927 40 592 02;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1"/>
            <w:iCs w:val="1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sagiltal2022@mail.ru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Приложение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 Положению о конкурсе 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«Педагог начальной школы – наставник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Номинации Конкурса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Конкурс проводится по следующим номинациям: 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1) Модель «Опытный – молодому»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Наставничество по данной модели строится по направлению передачи опыта, профессионального мастерства от педагога, имеющего опыт работы, к начинающему специалисту.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Портрет участников: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Наставник – опытный педагог, имеющий значимые профессиональные результаты в своей образовательной практике, готовый и компетентный поделиться опытом и навыками, необходимыми для поддержки самореализации и самосовершенствования наставляемого.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Наставляемый – молодой специалист, имеющий небольшой опыт работы (от 0 до 5 лет), испытывающий трудности с организацией учебного процесса, взаимодействием с обучающимися, коллегами, администрацией или родителями и т.д.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Возможные продукты (разработки):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Мастер-класс наставника по актуальной теме для молодых педагогов;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Стажировка (краткосрочная, долгосрочная) по определенной теме (например, для студентов педагогических специальностей, слушателей профессиональной переподготовки и др.);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Клуб, Школа по интересам; образовательная лаборатория;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Совместный проект; 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Методический лайфхак (практический совет успешной практики наставничества, позволяющий достигнуть конкретных ожидаемых результатов);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Эссе молодого педагога «Мой наставник»;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Иное.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2) Модель «Молодой – молодому»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Портрет участников: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Наставники – молодые специалисты с педагогическим стажем от 3 до 5 лет, демонстрирующие высокие образовательные результаты, принимающие активное участие в жизни образовательной организации.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Наставляемые – молодые специалисты с педагогическим стажем от 0 до 3 лет; студенты педагогических специальностей; слушатели профессиональной переподготовки, нуждающиеся в профессиональной поддержке, направленной на развитие определенных навыков и компетенций, необходимых для будущего трудоустройства, адаптации на рабочем месте, вступления в полноценную трудовую деятельность.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Возможные продукты (разработки):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Мастер-класс наставника по актуальной теме для молодых специалистов;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Совместное создание проекта; 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Стажировка (краткосрочная, долгосрочная) по определенной теме;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Эссе молодого педагога «Мой наставник»;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Клуб, Школа по интересам; образовательная лаборатория;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Методический лайфхак (практический совет успешной практики наставничества, позволяющий достигнуть конкретных ожидаемых результатов);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Иное.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3) Модель «Педагог – педагогу»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Предполагает партнерское наставничество, педагогический тандем – процесс взаимодополнения, взаимообмена, выравнивания педагогических кадров, взаимовыгодный для обеих сторон.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Портрет участников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Наставник:  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педагог, имеющий значимые профессиональные результаты в своей образовательной практике, готовый и компетентный поделиться опытом и навыками, необходимыми для поддержки самореализации и самосовершенствования наставляемого;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педагог, равный по уровню партнеру, но  с большим опытом работы в отдельной предметной области, которым партнер не обладает (например, имеющий успешный опыт в использовании современных технологий, владеющий цифровыми навыками и технологиями). 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Наставляемый/Партнер: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педагог, находящийся в процессе адаптации на новом месте работы, которому необходимо получить представление о традициях, особенностях образовательной организации;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педагог, демонстрирующий низкие образовательные результаты, имеющий дефициты во владении предметом, методикой преподавания или современными технологиями;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педагог, нуждающийся в профессиональной поддержке, направленной на развитие определенных навыков и компетенций (например,  ощущающий себя некомфортно в области новых цифровых образовательных технологий,  преподавании отдельных учебных дисциплин).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Возможные продукты (разработки):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Стажировка (краткосрочная, долгосрочная) по определенной теме;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Клуб, Школа по интересам; образовательная лаборатория;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Методический лайфхак (практический совет успешной практики наставничества, позволяющий достигнуть конкретных ожидаемых результатов);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Проект краткосрочного наставничества; 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Проект виртуального наставничества (например, создание платформы, единой коммуникационной площадки (чат, VK, WhatsApp, Skype, Zoom, Сферум и др.));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«Скорая (консультационная) помощь» по профильному направлению;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Совместный урок (мастер-класс) с последующим анализом;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Совместное создание проекта (например, разработка электронных образовательных ресурсов, по развитию карьерного движения, собственных гибких навыков (soft skills), профессионального роста);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Видеосюжет взаимного интервью и др.;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Иное.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4) Модель «Наставник +»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Портрет участников: 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Наставники –  родители; выпускники, заинтересованные в поддержке своих школ; успешные предприниматели, спортсмены, деятели культуры, общественные деятели, которые чувствуют потребность передать свой опыт; участники муниципальных (региональных) социальных проектов с уже имеющимся опытом наставнической деятельности и т.д. 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Наставляемые – педагоги, обучающиеся, родители и др.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Возможные продукты (разработки):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Программа наставничества в какой-либо области (например, социальной);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Профориентационные мероприятия (Выставочные экспозиции наставников, Ярмарка наставников, Экскурсии на место работы наставников и др.);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Мастер-класс наставника;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Стажировка (краткосрочная, долгосрочная) по определенной теме;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Клуб, Школа по интересам; творческая лаборатория;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Методический лайфхак (практический совет успешной практики наставничества, позволяющий достигнуть конкретных ожидаемых результатов);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Иное.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5) Модель «Интернет-наставник»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Предполагается создание интернет-ресурса для самообразования педагогов, родителей.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Портрет участников: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Наставники – «онлайн-наставники», умеющие вести наставническую работу в онлайн-формате; 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чителя-блогеры, которые ведут свое собственное сообщество в социальной сети, обсуждают имеющие особое значение вопросы системы образования, помогают популяризировать работу педагогов среди аудитории соцсетей, формировать позитивный имидж учителей российских школ и др.).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Наставляемые – педагоги, родители. 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Возможные продукты (разработки):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Создание интернет-площадки для взаимодействия заинтересованных лиц; 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Действующий и регулярно обновляемый блог/аккаунт в соцсети с активными подписчиками (просмотры, лайки, комментарии), полезный образовательный просветительский контент в блоге/аккаунте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Интернет-клуб, Интернет-школа по интересам;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Иное.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6) Модель «Наставник - методист»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Портрет участников: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Наставники – методисты, демонстрирующие авторское видение процесса сопровождения наставничества в начальной школе.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Наставляемые – педагоги образовательных организаций, члены методических объединений. 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Возможные продукты (разработки):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Мастер-класс (например, «Технологии наставничества в педагогической практике»);  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Деловая игра: анализ актуальных ситуаций из практики наставничества; 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Круглый стол: обсуждение педагогических идей возрождения традиционной системы наставничества новаторской методикой, новыми ресурсами, онлайн-инструментами;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Тренинг (мозговой штурм): перспективы развития наставничества;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Программа проведения фестивалей, форумов, конференций наставников;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Проект конкурса профессионального мастерства («Наставник года», «Лучшая наставническая пара» и др.);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Проект поддержки системы наставничества (например, информационное освещение через СМИ); 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Комплекс встреч (или отдельно взятая встреча) наставнических сообществ (установочная, тематическая, итоговая встреча  и др.) ;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Проект виртуального наставничества (создание платформы, единой коммуникационной площадки (чат, VK, WhatsApp и др.));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Дорожная карта реализации системы наставничества (система работы с внешней средой в части привлечения наставников (формирование базы наставников из числа родителей, выпускников, заинтересованных в поддержке своих школ; сотрудников региональных предприятий, заинтересованных в подготовке будущих кадров; успешных предпринимателей или общественных деятелей, которые чувствуют потребность передать свой опыт; участников муниципальных (региональных) социальных проектов уже имеющимся опытом наставнической деятельности; представителей других организаций, с которыми есть партнерские связи и др.).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Приложение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 Положению о конкурсе 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«Педагог начальной школы – наставник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5890895" cy="6610350"/>
            <wp:effectExtent b="0" l="0" r="0" t="0"/>
            <wp:docPr id="102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90895" cy="6610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418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Заголовок1">
    <w:name w:val="Заголовок 1"/>
    <w:basedOn w:val="Обычный"/>
    <w:next w:val="Заголовок1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b w:val="1"/>
      <w:bCs w:val="1"/>
      <w:w w:val="100"/>
      <w:kern w:val="36"/>
      <w:position w:val="-1"/>
      <w:sz w:val="48"/>
      <w:szCs w:val="48"/>
      <w:effect w:val="none"/>
      <w:vertAlign w:val="baseline"/>
      <w:cs w:val="0"/>
      <w:em w:val="none"/>
      <w:lang w:bidi="ar-SA" w:eastAsia="ru-RU" w:val="ru-RU"/>
    </w:rPr>
  </w:style>
  <w:style w:type="paragraph" w:styleId="Заголовок2">
    <w:name w:val="Заголовок 2"/>
    <w:basedOn w:val="Обычный"/>
    <w:next w:val="Обычный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1"/>
    </w:pPr>
    <w:rPr>
      <w:rFonts w:ascii="Arial" w:cs="Arial" w:hAnsi="Arial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Обычный(веб)">
    <w:name w:val="Обычный (веб)"/>
    <w:basedOn w:val="Обычный"/>
    <w:next w:val="Обычный(веб)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Строгий">
    <w:name w:val="Строгий"/>
    <w:basedOn w:val="Основнойшрифтабзаца"/>
    <w:next w:val="Строгий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FontStyle77">
    <w:name w:val="Font Style77"/>
    <w:next w:val="FontStyle77"/>
    <w:autoRedefine w:val="0"/>
    <w:hidden w:val="0"/>
    <w:qFormat w:val="0"/>
    <w:rPr>
      <w:rFonts w:ascii="Lucida Sans Unicode" w:hAnsi="Lucida Sans Unicode"/>
      <w:w w:val="100"/>
      <w:position w:val="-1"/>
      <w:sz w:val="14"/>
      <w:effect w:val="none"/>
      <w:vertAlign w:val="baseline"/>
      <w:cs w:val="0"/>
      <w:em w:val="none"/>
      <w:lang/>
    </w:rPr>
  </w:style>
  <w:style w:type="paragraph" w:styleId="rtejustify">
    <w:name w:val="rtejustify"/>
    <w:basedOn w:val="Обычный"/>
    <w:next w:val="rtejustify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Выделение">
    <w:name w:val="Выделение"/>
    <w:basedOn w:val="Основнойшрифтабзаца"/>
    <w:next w:val="Выделение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character" w:styleId="Гиперссылка">
    <w:name w:val="Гиперссылка"/>
    <w:basedOn w:val="Основнойшрифтабзаца"/>
    <w:next w:val="Гиперссылка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c0">
    <w:name w:val="c0"/>
    <w:basedOn w:val="Обычный"/>
    <w:next w:val="c0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c3">
    <w:name w:val="c3"/>
    <w:basedOn w:val="Основнойшрифтабзаца"/>
    <w:next w:val="c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2">
    <w:name w:val="c2"/>
    <w:basedOn w:val="Основнойшрифтабзаца"/>
    <w:next w:val="c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СтандартныйHTML">
    <w:name w:val="Стандартный HTML"/>
    <w:basedOn w:val="Обычный"/>
    <w:next w:val="СтандартныйHTML"/>
    <w:autoRedefine w:val="0"/>
    <w:hidden w:val="0"/>
    <w:qFormat w:val="0"/>
    <w:pPr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sz w:val="20"/>
      <w:szCs w:val="20"/>
      <w:effect w:val="none"/>
      <w:vertAlign w:val="baseline"/>
      <w:cs w:val="0"/>
      <w:em w:val="none"/>
      <w:lang w:bidi="ar-SA" w:eastAsia="ru-RU" w:val="ru-RU"/>
    </w:rPr>
  </w:style>
  <w:style w:type="paragraph" w:styleId="Абзацсписка">
    <w:name w:val="Абзац списка"/>
    <w:basedOn w:val="Обычный"/>
    <w:next w:val="Абзацсписка"/>
    <w:autoRedefine w:val="0"/>
    <w:hidden w:val="0"/>
    <w:qFormat w:val="0"/>
    <w:pPr>
      <w:suppressAutoHyphens w:val="1"/>
      <w:spacing w:after="200" w:line="276" w:lineRule="auto"/>
      <w:ind w:left="708" w:leftChars="-1" w:rightChars="0" w:firstLineChars="-1"/>
      <w:textDirection w:val="btLr"/>
      <w:textAlignment w:val="top"/>
      <w:outlineLvl w:val="0"/>
    </w:pPr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ru-RU"/>
    </w:rPr>
  </w:style>
  <w:style w:type="paragraph" w:styleId="TableParagraph">
    <w:name w:val="Table Paragraph"/>
    <w:basedOn w:val="Обычный"/>
    <w:next w:val="TableParagraph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="107"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ru-RU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mailto:sagiltal2022@mail.ru" TargetMode="External"/><Relationship Id="rId10" Type="http://schemas.openxmlformats.org/officeDocument/2006/relationships/hyperlink" Target="https://disk.yandex.ru/client/disk/%D0%A1%D0%B5%D1%80%D1%82%D0%B8%D1%84%D0%B8%D0%BA%D0%B0%D1%82%D1%8B%20%D0%B8%20%D0%B4%D0%B8%D0%BF%D0%BB%D0%BE%D0%BC%D1%8B%20" TargetMode="External"/><Relationship Id="rId12" Type="http://schemas.openxmlformats.org/officeDocument/2006/relationships/image" Target="media/image1.jpg"/><Relationship Id="rId9" Type="http://schemas.openxmlformats.org/officeDocument/2006/relationships/hyperlink" Target="mailto:sagiltal2022@mail.ru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irort.ru" TargetMode="External"/><Relationship Id="rId8" Type="http://schemas.openxmlformats.org/officeDocument/2006/relationships/hyperlink" Target="https://forms.gle/paUyTMgewv9L3MoY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NFGMA72Yedh5J+IFQEC4YyJ2eg==">CgMxLjA4AHIhMTUydzNDZEJaY1F2SjhtTkt4UHgxc2pIdU1xb182YVFX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2023-01-16T07:12:00Z</dcterms:created>
  <dc:creator>irort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