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color w:val="1a1a1a"/>
          <w:sz w:val="28"/>
          <w:szCs w:val="28"/>
          <w:shd w:val="clear" w:color="auto" w:fill="ffffff"/>
        </w:rPr>
      </w:pPr>
      <w:r>
        <w:rPr>
          <w:color w:val="1a1a1a"/>
          <w:sz w:val="28"/>
          <w:szCs w:val="28"/>
          <w:shd w:val="clear" w:color="auto" w:fill="ffffff"/>
        </w:rPr>
        <w:t xml:space="preserve">Приложение</w:t>
      </w:r>
      <w:r/>
    </w:p>
    <w:tbl>
      <w:tblPr>
        <w:tblStyle w:val="62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458"/>
        <w:gridCol w:w="3897"/>
      </w:tblGrid>
      <w:tr>
        <w:trPr/>
        <w:tc>
          <w:tcPr>
            <w:tcW w:w="5670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969" w:type="dxa"/>
            <w:textDirection w:val="lrTb"/>
            <w:noWrap w:val="false"/>
          </w:tcPr>
          <w:p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 xml:space="preserve">УТВЕРЖДЕН</w:t>
            </w:r>
            <w:r>
              <w:rPr>
                <w:color w:val="1a1a1a"/>
                <w:sz w:val="28"/>
                <w:szCs w:val="28"/>
              </w:rPr>
              <w:t xml:space="preserve">О</w:t>
            </w:r>
            <w:r/>
          </w:p>
          <w:p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 xml:space="preserve">приказом ГАОУ ДПО ИРО РТ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>
              <w:rPr>
                <w:color w:val="1a1a1a"/>
                <w:sz w:val="28"/>
                <w:szCs w:val="28"/>
              </w:rPr>
              <w:t xml:space="preserve">от </w:t>
            </w:r>
            <w:r>
              <w:rPr>
                <w:color w:val="1a1a1a"/>
                <w:sz w:val="28"/>
                <w:szCs w:val="28"/>
              </w:rPr>
              <w:t xml:space="preserve">11.08.2023 </w:t>
            </w:r>
            <w:r>
              <w:rPr>
                <w:color w:val="1a1a1a"/>
                <w:sz w:val="28"/>
                <w:szCs w:val="28"/>
              </w:rPr>
              <w:t xml:space="preserve">г. №</w:t>
            </w:r>
            <w:r>
              <w:rPr>
                <w:color w:val="1a1a1a"/>
                <w:sz w:val="28"/>
                <w:szCs w:val="28"/>
              </w:rPr>
              <w:t xml:space="preserve">351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</w:tbl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contextualSpacing/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Положение о республиканском научно-педагогическом конкурсе </w:t>
      </w:r>
      <w:r/>
    </w:p>
    <w:p>
      <w:pPr>
        <w:contextualSpacing/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«Педагог-исследователь: опыт, инновации, перспективы» </w:t>
      </w:r>
      <w:r/>
    </w:p>
    <w:p>
      <w:pPr>
        <w:contextualSpacing/>
        <w:jc w:val="center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20"/>
        <w:numPr>
          <w:ilvl w:val="0"/>
          <w:numId w:val="3"/>
        </w:numPr>
        <w:jc w:val="center"/>
        <w:spacing w:line="360" w:lineRule="auto"/>
        <w:rPr>
          <w:b/>
          <w:bCs/>
          <w:color w:val="1a1a1a"/>
          <w:sz w:val="28"/>
          <w:szCs w:val="28"/>
          <w:shd w:val="clear" w:color="auto" w:fill="ffffff"/>
        </w:rPr>
      </w:pPr>
      <w:r>
        <w:rPr>
          <w:b/>
          <w:bCs/>
          <w:color w:val="1a1a1a"/>
          <w:sz w:val="28"/>
          <w:szCs w:val="28"/>
          <w:shd w:val="clear" w:color="auto" w:fill="ffffff"/>
        </w:rPr>
        <w:t xml:space="preserve">Общие положения</w:t>
      </w:r>
      <w:r/>
    </w:p>
    <w:p>
      <w:pPr>
        <w:pStyle w:val="620"/>
        <w:numPr>
          <w:ilvl w:val="1"/>
          <w:numId w:val="3"/>
        </w:numPr>
        <w:ind w:left="0" w:firstLine="709"/>
        <w:jc w:val="both"/>
        <w:spacing w:line="276" w:lineRule="auto"/>
        <w:shd w:val="clear" w:color="auto" w:fill="ffffff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Настоящее Положение </w:t>
      </w:r>
      <w:r>
        <w:rPr>
          <w:color w:val="1a1a1a"/>
          <w:sz w:val="28"/>
          <w:szCs w:val="28"/>
        </w:rPr>
        <w:t xml:space="preserve">определяет порядок и регламент проведения </w:t>
      </w:r>
      <w:bookmarkStart w:id="0" w:name="_Hlk142644990"/>
      <w:r>
        <w:rPr>
          <w:color w:val="1a1a1a"/>
          <w:sz w:val="28"/>
          <w:szCs w:val="28"/>
        </w:rPr>
        <w:t xml:space="preserve">республиканско</w:t>
      </w:r>
      <w:r>
        <w:rPr>
          <w:color w:val="1a1a1a"/>
          <w:sz w:val="28"/>
          <w:szCs w:val="28"/>
        </w:rPr>
        <w:t xml:space="preserve">го</w:t>
      </w:r>
      <w:r>
        <w:rPr>
          <w:color w:val="1a1a1a"/>
          <w:sz w:val="28"/>
          <w:szCs w:val="28"/>
        </w:rPr>
        <w:t xml:space="preserve"> научно-педагогическо</w:t>
      </w:r>
      <w:r>
        <w:rPr>
          <w:color w:val="1a1a1a"/>
          <w:sz w:val="28"/>
          <w:szCs w:val="28"/>
        </w:rPr>
        <w:t xml:space="preserve">го</w:t>
      </w:r>
      <w:r>
        <w:rPr>
          <w:color w:val="1a1a1a"/>
          <w:sz w:val="28"/>
          <w:szCs w:val="28"/>
        </w:rPr>
        <w:t xml:space="preserve"> конкурс</w:t>
      </w:r>
      <w:r>
        <w:rPr>
          <w:color w:val="1a1a1a"/>
          <w:sz w:val="28"/>
          <w:szCs w:val="28"/>
        </w:rPr>
        <w:t xml:space="preserve">а</w:t>
      </w:r>
      <w:r>
        <w:rPr>
          <w:color w:val="1a1a1a"/>
          <w:sz w:val="28"/>
          <w:szCs w:val="28"/>
        </w:rPr>
        <w:t xml:space="preserve"> «Педагог-исследователь: опыт, инновации, перспективы» </w:t>
      </w:r>
      <w:bookmarkEnd w:id="0"/>
      <w:r>
        <w:rPr>
          <w:color w:val="1a1a1a"/>
          <w:sz w:val="28"/>
          <w:szCs w:val="28"/>
        </w:rPr>
        <w:t xml:space="preserve">(далее – Конкурс)</w:t>
      </w:r>
      <w:r>
        <w:rPr>
          <w:color w:val="1a1a1a"/>
          <w:sz w:val="28"/>
          <w:szCs w:val="28"/>
        </w:rPr>
        <w:t xml:space="preserve">, устанавливает </w:t>
      </w:r>
      <w:r>
        <w:rPr>
          <w:color w:val="1a1a1a"/>
          <w:sz w:val="28"/>
          <w:szCs w:val="28"/>
        </w:rPr>
        <w:t xml:space="preserve">порядок и сроки его проведения, требования к участникам, критерии оценки работ,</w:t>
      </w:r>
      <w:r>
        <w:rPr>
          <w:color w:val="1a1a1a"/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t xml:space="preserve">способ определения победителей и др.</w:t>
      </w:r>
      <w:r/>
    </w:p>
    <w:p>
      <w:pPr>
        <w:pStyle w:val="620"/>
        <w:numPr>
          <w:ilvl w:val="1"/>
          <w:numId w:val="3"/>
        </w:numPr>
        <w:ind w:left="0" w:firstLine="709"/>
        <w:jc w:val="both"/>
        <w:spacing w:line="276" w:lineRule="auto"/>
        <w:shd w:val="clear" w:color="auto" w:fill="ffffff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Организатором конкурса является 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 (далее – Институт).</w:t>
      </w:r>
      <w:r/>
    </w:p>
    <w:p>
      <w:pPr>
        <w:numPr>
          <w:ilvl w:val="1"/>
          <w:numId w:val="3"/>
        </w:numPr>
        <w:ind w:left="0" w:firstLine="709"/>
        <w:jc w:val="both"/>
        <w:spacing w:line="276" w:lineRule="auto"/>
        <w:widowControl w:val="off"/>
        <w:tabs>
          <w:tab w:val="left" w:pos="1262" w:leader="none"/>
        </w:tabs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Конкурс проводится </w:t>
      </w:r>
      <w:r>
        <w:rPr>
          <w:spacing w:val="2"/>
          <w:sz w:val="28"/>
          <w:szCs w:val="28"/>
        </w:rPr>
        <w:t xml:space="preserve">в</w:t>
      </w:r>
      <w:r>
        <w:rPr>
          <w:spacing w:val="2"/>
          <w:sz w:val="28"/>
          <w:szCs w:val="28"/>
        </w:rPr>
        <w:t xml:space="preserve"> связи с объявлением 202</w:t>
      </w:r>
      <w:r>
        <w:rPr>
          <w:spacing w:val="2"/>
          <w:sz w:val="28"/>
          <w:szCs w:val="28"/>
        </w:rPr>
        <w:t xml:space="preserve">3</w:t>
      </w:r>
      <w:r>
        <w:rPr>
          <w:spacing w:val="2"/>
          <w:sz w:val="28"/>
          <w:szCs w:val="28"/>
        </w:rPr>
        <w:t xml:space="preserve"> года в </w:t>
      </w:r>
      <w:r>
        <w:rPr>
          <w:spacing w:val="2"/>
          <w:sz w:val="28"/>
          <w:szCs w:val="28"/>
        </w:rPr>
        <w:t xml:space="preserve">Российской Федерации</w:t>
      </w:r>
      <w:r>
        <w:rPr>
          <w:spacing w:val="2"/>
          <w:sz w:val="28"/>
          <w:szCs w:val="28"/>
        </w:rPr>
        <w:t xml:space="preserve"> Годом </w:t>
      </w:r>
      <w:r>
        <w:rPr>
          <w:spacing w:val="2"/>
          <w:sz w:val="28"/>
          <w:szCs w:val="28"/>
        </w:rPr>
        <w:t xml:space="preserve">педагога и наставника, </w:t>
      </w:r>
      <w:r>
        <w:rPr>
          <w:spacing w:val="2"/>
          <w:sz w:val="28"/>
          <w:szCs w:val="28"/>
        </w:rPr>
        <w:t xml:space="preserve">в рамках реализации </w:t>
      </w:r>
      <w:r>
        <w:rPr>
          <w:spacing w:val="2"/>
          <w:sz w:val="28"/>
          <w:szCs w:val="28"/>
        </w:rPr>
        <w:t xml:space="preserve">задач </w:t>
      </w:r>
      <w:r>
        <w:rPr>
          <w:sz w:val="28"/>
          <w:szCs w:val="28"/>
        </w:rPr>
        <w:t xml:space="preserve">Стратегии развития образования в Республике Татарстан на 2017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2021 годы и на период до 2030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года</w:t>
      </w:r>
      <w:r>
        <w:rPr>
          <w:sz w:val="28"/>
          <w:szCs w:val="28"/>
        </w:rPr>
        <w:t xml:space="preserve">.</w:t>
      </w:r>
      <w:r/>
    </w:p>
    <w:p>
      <w:pPr>
        <w:pStyle w:val="620"/>
        <w:numPr>
          <w:ilvl w:val="1"/>
          <w:numId w:val="3"/>
        </w:numPr>
        <w:ind w:left="0" w:firstLine="709"/>
        <w:jc w:val="both"/>
        <w:spacing w:line="276" w:lineRule="auto"/>
        <w:shd w:val="clear" w:color="auto" w:fill="ffffff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Общее руководство при организации и проведении Конкурса, определение состава жюри, а также внесение изменений и дополнений в настоящее Положение осуществляет организационный комитет (далее – Оргкомитет), который </w:t>
      </w:r>
      <w:r>
        <w:rPr>
          <w:color w:val="1a1a1a"/>
          <w:sz w:val="28"/>
          <w:szCs w:val="28"/>
        </w:rPr>
        <w:t xml:space="preserve">утверждается</w:t>
      </w:r>
      <w:r>
        <w:rPr>
          <w:color w:val="1a1a1a"/>
          <w:sz w:val="28"/>
          <w:szCs w:val="28"/>
        </w:rPr>
        <w:t xml:space="preserve"> приказом ректора (Приложение 1).</w:t>
      </w:r>
      <w:r/>
    </w:p>
    <w:p>
      <w:pPr>
        <w:pStyle w:val="620"/>
        <w:numPr>
          <w:ilvl w:val="1"/>
          <w:numId w:val="3"/>
        </w:numPr>
        <w:ind w:left="1276" w:hanging="567"/>
        <w:jc w:val="both"/>
        <w:spacing w:line="276" w:lineRule="auto"/>
        <w:shd w:val="clear" w:color="auto" w:fill="ffffff"/>
        <w:rPr>
          <w:color w:val="1a1a1a"/>
          <w:sz w:val="28"/>
          <w:szCs w:val="28"/>
        </w:rPr>
      </w:pPr>
      <w:r>
        <w:rPr>
          <w:sz w:val="28"/>
          <w:szCs w:val="28"/>
        </w:rPr>
        <w:t xml:space="preserve"> Информация о Конкурсе размещается на сайте Института.</w:t>
      </w:r>
      <w:r/>
    </w:p>
    <w:p>
      <w:pPr>
        <w:ind w:firstLine="709"/>
        <w:jc w:val="both"/>
        <w:spacing w:line="276" w:lineRule="auto"/>
        <w:shd w:val="clear" w:color="auto" w:fill="ffffff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</w:r>
      <w:r/>
    </w:p>
    <w:p>
      <w:pPr>
        <w:contextualSpacing/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Цели и задачи конкурса</w:t>
      </w:r>
      <w:r/>
    </w:p>
    <w:p>
      <w:pPr>
        <w:contextualSpacing/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>
        <w:rPr>
          <w:sz w:val="28"/>
          <w:szCs w:val="28"/>
        </w:rPr>
        <w:t xml:space="preserve">Конкурс проводится в 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повышения </w:t>
      </w:r>
      <w:r>
        <w:rPr>
          <w:sz w:val="28"/>
          <w:szCs w:val="28"/>
        </w:rPr>
        <w:t xml:space="preserve">научно-педагогической </w:t>
      </w:r>
      <w:r>
        <w:rPr>
          <w:sz w:val="28"/>
          <w:szCs w:val="28"/>
        </w:rPr>
        <w:t xml:space="preserve">активности и раскрытия потенциала педагогов и исследователей, обмена научно-</w:t>
      </w:r>
      <w:r>
        <w:rPr>
          <w:sz w:val="28"/>
          <w:szCs w:val="28"/>
        </w:rPr>
        <w:t xml:space="preserve">педагогическим</w:t>
      </w:r>
      <w:r>
        <w:rPr>
          <w:sz w:val="28"/>
          <w:szCs w:val="28"/>
        </w:rPr>
        <w:t xml:space="preserve"> опытом между представителями образовательных организаций Республики Татарстан.</w:t>
      </w:r>
      <w:r/>
    </w:p>
    <w:p>
      <w:pPr>
        <w:ind w:firstLine="709"/>
        <w:jc w:val="both"/>
        <w:spacing w:line="276" w:lineRule="auto"/>
        <w:shd w:val="clear" w:color="auto" w:fill="ffffff"/>
        <w:tabs>
          <w:tab w:val="left" w:pos="0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2.2. </w:t>
      </w:r>
      <w:r>
        <w:rPr>
          <w:color w:val="000000" w:themeColor="text1"/>
          <w:sz w:val="28"/>
          <w:szCs w:val="28"/>
        </w:rPr>
        <w:t xml:space="preserve">Задачи </w:t>
      </w:r>
      <w:r>
        <w:rPr>
          <w:color w:val="000000" w:themeColor="text1"/>
          <w:sz w:val="28"/>
          <w:szCs w:val="28"/>
        </w:rPr>
        <w:t xml:space="preserve">конкурса</w:t>
      </w:r>
      <w:r>
        <w:rPr>
          <w:color w:val="000000" w:themeColor="text1"/>
          <w:sz w:val="28"/>
          <w:szCs w:val="28"/>
        </w:rPr>
        <w:t xml:space="preserve">:</w:t>
      </w:r>
      <w:r/>
    </w:p>
    <w:p>
      <w:pPr>
        <w:pStyle w:val="620"/>
        <w:numPr>
          <w:ilvl w:val="0"/>
          <w:numId w:val="9"/>
        </w:numPr>
        <w:jc w:val="both"/>
        <w:spacing w:line="276" w:lineRule="auto"/>
        <w:shd w:val="clear" w:color="auto" w:fill="ffffff"/>
        <w:tabs>
          <w:tab w:val="left" w:pos="0" w:leader="none"/>
          <w:tab w:val="left" w:pos="993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повышение профессионального мастерства педагогов;</w:t>
      </w:r>
      <w:r>
        <w:rPr>
          <w:color w:val="000000" w:themeColor="text1"/>
          <w:sz w:val="28"/>
          <w:szCs w:val="28"/>
        </w:rPr>
      </w:r>
    </w:p>
    <w:p>
      <w:pPr>
        <w:pStyle w:val="620"/>
        <w:numPr>
          <w:ilvl w:val="0"/>
          <w:numId w:val="9"/>
        </w:numPr>
        <w:jc w:val="both"/>
        <w:spacing w:line="276" w:lineRule="auto"/>
        <w:shd w:val="clear" w:color="auto" w:fill="ffffff"/>
        <w:tabs>
          <w:tab w:val="left" w:pos="0" w:leader="none"/>
          <w:tab w:val="left" w:pos="993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предоставление возможности педагогическому сообществу демонстрировать результаты своего интеллектуального труда с целью распространения успешного </w:t>
      </w:r>
      <w:r>
        <w:rPr>
          <w:color w:val="000000" w:themeColor="text1"/>
          <w:sz w:val="28"/>
          <w:szCs w:val="28"/>
        </w:rPr>
        <w:t xml:space="preserve">научного и </w:t>
      </w:r>
      <w:r>
        <w:rPr>
          <w:color w:val="000000" w:themeColor="text1"/>
          <w:sz w:val="28"/>
          <w:szCs w:val="28"/>
        </w:rPr>
        <w:t xml:space="preserve">педагогического опыта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</w:p>
    <w:p>
      <w:pPr>
        <w:pStyle w:val="620"/>
        <w:numPr>
          <w:ilvl w:val="0"/>
          <w:numId w:val="9"/>
        </w:numPr>
        <w:jc w:val="both"/>
        <w:spacing w:line="276" w:lineRule="auto"/>
        <w:shd w:val="clear" w:color="auto" w:fill="ffffff"/>
        <w:tabs>
          <w:tab w:val="left" w:pos="0" w:leader="none"/>
          <w:tab w:val="left" w:pos="993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способствование самореализации, профессиональному росту педагога, расширению профессиональных компетенций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</w:p>
    <w:p>
      <w:pPr>
        <w:pStyle w:val="620"/>
        <w:numPr>
          <w:ilvl w:val="0"/>
          <w:numId w:val="9"/>
        </w:numPr>
        <w:jc w:val="both"/>
        <w:spacing w:line="276" w:lineRule="auto"/>
        <w:shd w:val="clear" w:color="auto" w:fill="ffffff"/>
        <w:tabs>
          <w:tab w:val="left" w:pos="0" w:leader="none"/>
          <w:tab w:val="left" w:pos="993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пополнение портфолио, свидетельствующее об эффективной </w:t>
      </w:r>
      <w:r>
        <w:rPr>
          <w:color w:val="000000" w:themeColor="text1"/>
          <w:sz w:val="28"/>
          <w:szCs w:val="28"/>
        </w:rPr>
        <w:t xml:space="preserve">научной и </w:t>
      </w:r>
      <w:r>
        <w:rPr>
          <w:color w:val="000000" w:themeColor="text1"/>
          <w:sz w:val="28"/>
          <w:szCs w:val="28"/>
        </w:rPr>
        <w:t xml:space="preserve">педагогической деятельности.</w:t>
      </w:r>
      <w:r>
        <w:rPr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line="276" w:lineRule="auto"/>
        <w:tabs>
          <w:tab w:val="left" w:pos="0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center"/>
        <w:spacing w:line="276" w:lineRule="auto"/>
        <w:tabs>
          <w:tab w:val="left" w:pos="0" w:leader="none"/>
        </w:tabs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3. Условия участия</w:t>
      </w:r>
      <w:r/>
    </w:p>
    <w:p>
      <w:pPr>
        <w:contextualSpacing/>
        <w:ind w:firstLine="709"/>
        <w:jc w:val="both"/>
        <w:spacing w:line="276" w:lineRule="auto"/>
        <w:tabs>
          <w:tab w:val="left" w:pos="0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3.1. К участию в Конкурсе</w:t>
      </w:r>
      <w:r>
        <w:rPr>
          <w:color w:val="000000" w:themeColor="text1"/>
          <w:sz w:val="28"/>
          <w:szCs w:val="28"/>
        </w:rPr>
        <w:t xml:space="preserve"> допускаются научные 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педагогические работники образовательных организаций, </w:t>
      </w:r>
      <w:r>
        <w:rPr>
          <w:color w:val="000000" w:themeColor="text1"/>
          <w:sz w:val="28"/>
          <w:szCs w:val="28"/>
        </w:rPr>
        <w:t xml:space="preserve">метод</w:t>
      </w:r>
      <w:r>
        <w:rPr>
          <w:color w:val="000000" w:themeColor="text1"/>
          <w:sz w:val="28"/>
          <w:szCs w:val="28"/>
        </w:rPr>
        <w:t xml:space="preserve">исты, аспиранты и магистранты педагогических направлений.</w:t>
      </w:r>
      <w:r/>
    </w:p>
    <w:p>
      <w:pPr>
        <w:contextualSpacing/>
        <w:ind w:firstLine="709"/>
        <w:jc w:val="both"/>
        <w:spacing w:line="276" w:lineRule="auto"/>
        <w:tabs>
          <w:tab w:val="left" w:pos="0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3.2. Ограничений по возрасту и педагогическому стажу участников Конкурса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нет.</w:t>
      </w:r>
      <w:r/>
    </w:p>
    <w:p>
      <w:pPr>
        <w:contextualSpacing/>
        <w:ind w:firstLine="709"/>
        <w:jc w:val="both"/>
        <w:spacing w:line="276" w:lineRule="auto"/>
        <w:tabs>
          <w:tab w:val="left" w:pos="0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3.3. На Конкурс принимаются индивидуальные и коллективные (не более 3-х человек) работы.</w:t>
      </w:r>
      <w:r/>
    </w:p>
    <w:p>
      <w:pPr>
        <w:contextualSpacing/>
        <w:ind w:firstLine="709"/>
        <w:jc w:val="both"/>
        <w:spacing w:line="276" w:lineRule="auto"/>
        <w:tabs>
          <w:tab w:val="left" w:pos="0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center"/>
        <w:spacing w:line="276" w:lineRule="auto"/>
        <w:tabs>
          <w:tab w:val="left" w:pos="0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Предмет и содержание конкурса</w:t>
      </w:r>
      <w:r/>
    </w:p>
    <w:p>
      <w:pPr>
        <w:pStyle w:val="620"/>
        <w:numPr>
          <w:ilvl w:val="1"/>
          <w:numId w:val="4"/>
        </w:numPr>
        <w:ind w:left="0" w:firstLine="709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Предметом Конкурса</w:t>
      </w:r>
      <w:r>
        <w:rPr>
          <w:sz w:val="28"/>
          <w:szCs w:val="28"/>
        </w:rPr>
        <w:t xml:space="preserve"> являются </w:t>
      </w:r>
      <w:r>
        <w:rPr>
          <w:sz w:val="28"/>
          <w:szCs w:val="28"/>
        </w:rPr>
        <w:t xml:space="preserve">авторские разработки</w:t>
      </w:r>
      <w:r>
        <w:rPr>
          <w:sz w:val="28"/>
          <w:szCs w:val="28"/>
        </w:rPr>
        <w:t xml:space="preserve"> по теме Конкурса.</w:t>
      </w:r>
      <w:r/>
    </w:p>
    <w:p>
      <w:pPr>
        <w:pStyle w:val="620"/>
        <w:numPr>
          <w:ilvl w:val="1"/>
          <w:numId w:val="4"/>
        </w:numPr>
        <w:ind w:left="0" w:firstLine="709"/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Номинации: </w:t>
      </w:r>
      <w:r/>
    </w:p>
    <w:p>
      <w:pPr>
        <w:pStyle w:val="620"/>
        <w:numPr>
          <w:ilvl w:val="0"/>
          <w:numId w:val="5"/>
        </w:numPr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Научно-педагогическая статья</w:t>
      </w:r>
      <w:r>
        <w:rPr>
          <w:sz w:val="28"/>
          <w:szCs w:val="28"/>
        </w:rPr>
        <w:t xml:space="preserve">;</w:t>
      </w:r>
      <w:r/>
    </w:p>
    <w:p>
      <w:pPr>
        <w:pStyle w:val="620"/>
        <w:numPr>
          <w:ilvl w:val="0"/>
          <w:numId w:val="5"/>
        </w:numPr>
        <w:jc w:val="both"/>
        <w:spacing w:after="1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Методическое/дидактическое пособие (с возможностью получения рецензии);</w:t>
      </w:r>
      <w:r/>
    </w:p>
    <w:p>
      <w:pPr>
        <w:pStyle w:val="620"/>
        <w:numPr>
          <w:ilvl w:val="0"/>
          <w:numId w:val="5"/>
        </w:numPr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Авторская программа </w:t>
      </w:r>
      <w:r>
        <w:rPr>
          <w:sz w:val="28"/>
          <w:szCs w:val="28"/>
        </w:rPr>
        <w:t xml:space="preserve">(с возможностью получения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ецензии);</w:t>
      </w:r>
      <w:r/>
    </w:p>
    <w:p>
      <w:pPr>
        <w:pStyle w:val="620"/>
        <w:numPr>
          <w:ilvl w:val="0"/>
          <w:numId w:val="5"/>
        </w:numPr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Педагогический проект;</w:t>
      </w:r>
      <w:r/>
    </w:p>
    <w:p>
      <w:pPr>
        <w:pStyle w:val="620"/>
        <w:numPr>
          <w:ilvl w:val="0"/>
          <w:numId w:val="5"/>
        </w:numPr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Методический проект;</w:t>
      </w:r>
      <w:r/>
    </w:p>
    <w:p>
      <w:pPr>
        <w:pStyle w:val="620"/>
        <w:numPr>
          <w:ilvl w:val="0"/>
          <w:numId w:val="5"/>
        </w:numPr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Образовательный сайт</w:t>
      </w:r>
      <w:r>
        <w:rPr>
          <w:sz w:val="28"/>
          <w:szCs w:val="28"/>
        </w:rPr>
        <w:t xml:space="preserve">;</w:t>
      </w:r>
      <w:r/>
    </w:p>
    <w:p>
      <w:pPr>
        <w:pStyle w:val="620"/>
        <w:numPr>
          <w:ilvl w:val="0"/>
          <w:numId w:val="5"/>
        </w:numPr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Педагогический сайт;</w:t>
      </w:r>
      <w:r/>
    </w:p>
    <w:p>
      <w:pPr>
        <w:pStyle w:val="620"/>
        <w:numPr>
          <w:ilvl w:val="0"/>
          <w:numId w:val="5"/>
        </w:numPr>
        <w:jc w:val="both"/>
        <w:spacing w:line="276" w:lineRule="auto"/>
        <w:widowControl w:val="off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Виртуальная педагогическая лаборатория;</w:t>
      </w:r>
      <w:r/>
    </w:p>
    <w:p>
      <w:pPr>
        <w:pStyle w:val="620"/>
        <w:numPr>
          <w:ilvl w:val="0"/>
          <w:numId w:val="5"/>
        </w:numPr>
        <w:spacing w:after="1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Виртуальный методический кабинет;</w:t>
      </w:r>
      <w:r/>
    </w:p>
    <w:p>
      <w:pPr>
        <w:pStyle w:val="620"/>
        <w:numPr>
          <w:ilvl w:val="0"/>
          <w:numId w:val="5"/>
        </w:numPr>
        <w:jc w:val="both"/>
        <w:spacing w:after="1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Контрольно-измерительные материалы на основе электронных образовательных ресурсов</w:t>
      </w:r>
      <w:r>
        <w:rPr>
          <w:sz w:val="28"/>
          <w:szCs w:val="28"/>
        </w:rPr>
        <w:t xml:space="preserve"> в соответствии с п.4.1.</w:t>
      </w:r>
      <w:r>
        <w:rPr>
          <w:sz w:val="28"/>
          <w:szCs w:val="28"/>
        </w:rPr>
        <w:t xml:space="preserve"> (контрольная работа, </w:t>
      </w:r>
      <w:r>
        <w:rPr>
          <w:sz w:val="28"/>
          <w:szCs w:val="28"/>
        </w:rPr>
        <w:t xml:space="preserve">промежуточная аттестация, итоговая аттестация и др.</w:t>
      </w:r>
      <w:r>
        <w:rPr>
          <w:sz w:val="28"/>
          <w:szCs w:val="28"/>
        </w:rPr>
        <w:t xml:space="preserve">);</w:t>
      </w:r>
      <w:r/>
    </w:p>
    <w:p>
      <w:pPr>
        <w:pStyle w:val="620"/>
        <w:numPr>
          <w:ilvl w:val="0"/>
          <w:numId w:val="5"/>
        </w:numPr>
        <w:spacing w:after="1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Авторские о</w:t>
      </w:r>
      <w:r>
        <w:rPr>
          <w:sz w:val="28"/>
          <w:szCs w:val="28"/>
        </w:rPr>
        <w:t xml:space="preserve">бразовательные приложения, в том числе мобильные</w:t>
      </w:r>
      <w:r>
        <w:rPr>
          <w:sz w:val="28"/>
          <w:szCs w:val="28"/>
        </w:rPr>
        <w:t xml:space="preserve">;</w:t>
      </w:r>
      <w:r/>
    </w:p>
    <w:p>
      <w:pPr>
        <w:pStyle w:val="620"/>
        <w:numPr>
          <w:ilvl w:val="0"/>
          <w:numId w:val="5"/>
        </w:numPr>
        <w:spacing w:after="1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Авторская о</w:t>
      </w:r>
      <w:r>
        <w:rPr>
          <w:sz w:val="28"/>
          <w:szCs w:val="28"/>
        </w:rPr>
        <w:t xml:space="preserve">бразовательная компьютерная игра</w:t>
      </w:r>
      <w:r>
        <w:rPr>
          <w:sz w:val="28"/>
          <w:szCs w:val="28"/>
        </w:rPr>
        <w:t xml:space="preserve">.</w:t>
      </w:r>
      <w:r/>
    </w:p>
    <w:p>
      <w:pPr>
        <w:pStyle w:val="620"/>
        <w:ind w:left="450"/>
        <w:spacing w:line="360" w:lineRule="auto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/>
    </w:p>
    <w:p>
      <w:pPr>
        <w:pStyle w:val="620"/>
        <w:numPr>
          <w:ilvl w:val="0"/>
          <w:numId w:val="4"/>
        </w:numPr>
        <w:jc w:val="center"/>
        <w:spacing w:line="360" w:lineRule="auto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Требования к конкурсным материалам</w:t>
      </w:r>
      <w:r/>
    </w:p>
    <w:p>
      <w:pPr>
        <w:pStyle w:val="620"/>
        <w:numPr>
          <w:ilvl w:val="1"/>
          <w:numId w:val="4"/>
        </w:numPr>
        <w:ind w:left="0" w:firstLine="709"/>
        <w:jc w:val="both"/>
        <w:spacing w:line="276" w:lineRule="auto"/>
        <w:widowControl w:val="off"/>
        <w:tabs>
          <w:tab w:val="left" w:pos="851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Материалы на Конкурс принимаются в электронном виде </w:t>
      </w:r>
      <w:r>
        <w:rPr>
          <w:bCs/>
          <w:sz w:val="28"/>
          <w:szCs w:val="28"/>
        </w:rPr>
        <w:t xml:space="preserve">на русском и татарском языках.</w:t>
      </w:r>
      <w:r/>
    </w:p>
    <w:p>
      <w:pPr>
        <w:pStyle w:val="620"/>
        <w:numPr>
          <w:ilvl w:val="1"/>
          <w:numId w:val="4"/>
        </w:numPr>
        <w:ind w:left="0" w:firstLine="709"/>
        <w:jc w:val="both"/>
        <w:spacing w:line="276" w:lineRule="auto"/>
        <w:widowControl w:val="off"/>
        <w:tabs>
          <w:tab w:val="left" w:pos="851" w:leader="none"/>
        </w:tabs>
        <w:rPr>
          <w:bCs/>
          <w:sz w:val="28"/>
          <w:szCs w:val="28"/>
        </w:rPr>
      </w:pPr>
      <w:r>
        <w:rPr>
          <w:sz w:val="28"/>
          <w:szCs w:val="28"/>
        </w:rPr>
        <w:t xml:space="preserve">Разработка должна содержать: название, ФИО автора</w:t>
      </w:r>
      <w:r>
        <w:rPr>
          <w:sz w:val="28"/>
          <w:szCs w:val="28"/>
        </w:rPr>
        <w:t xml:space="preserve">/авторов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должность, наименование образовательного учреждения</w:t>
      </w:r>
      <w:r>
        <w:rPr>
          <w:sz w:val="28"/>
          <w:szCs w:val="28"/>
        </w:rPr>
        <w:t xml:space="preserve">, аннотацию материала (до 150 слов). </w:t>
      </w:r>
      <w:r/>
    </w:p>
    <w:p>
      <w:pPr>
        <w:pStyle w:val="620"/>
        <w:ind w:left="709"/>
        <w:jc w:val="both"/>
        <w:spacing w:line="360" w:lineRule="auto"/>
        <w:widowControl w:val="off"/>
        <w:tabs>
          <w:tab w:val="left" w:pos="851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</w:r>
      <w:r/>
    </w:p>
    <w:p>
      <w:pPr>
        <w:pStyle w:val="620"/>
        <w:numPr>
          <w:ilvl w:val="0"/>
          <w:numId w:val="4"/>
        </w:numPr>
        <w:jc w:val="center"/>
        <w:spacing w:line="360" w:lineRule="auto"/>
        <w:widowControl w:val="off"/>
        <w:tabs>
          <w:tab w:val="left" w:pos="743" w:leader="none"/>
        </w:tabs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 xml:space="preserve">Порядок проведения конкурса</w:t>
      </w:r>
      <w:r/>
    </w:p>
    <w:p>
      <w:pPr>
        <w:pStyle w:val="620"/>
        <w:numPr>
          <w:ilvl w:val="1"/>
          <w:numId w:val="6"/>
        </w:numPr>
        <w:ind w:left="0" w:firstLine="709"/>
        <w:jc w:val="both"/>
        <w:spacing w:line="276" w:lineRule="auto"/>
        <w:widowControl w:val="off"/>
        <w:tabs>
          <w:tab w:val="left" w:pos="0" w:leader="none"/>
        </w:tabs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Для участия в Конкурсе необходимо з</w:t>
      </w:r>
      <w:r>
        <w:rPr>
          <w:sz w:val="28"/>
          <w:szCs w:val="28"/>
        </w:rPr>
        <w:t xml:space="preserve">аполнить анкету по ссылке </w:t>
      </w:r>
      <w:hyperlink r:id="rId9" w:tooltip="https://forms.yandex.ru/cloud/64c79fb673cee7824f4764e8/" w:history="1">
        <w:r>
          <w:rPr>
            <w:rStyle w:val="623"/>
            <w:sz w:val="28"/>
            <w:szCs w:val="28"/>
          </w:rPr>
          <w:t xml:space="preserve">https://forms.yandex.ru/cloud/64c79fb673cee7824f4764e8/</w:t>
        </w:r>
      </w:hyperlink>
      <w: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прикрепить </w:t>
      </w:r>
      <w:r>
        <w:rPr>
          <w:sz w:val="28"/>
          <w:szCs w:val="28"/>
        </w:rPr>
        <w:t xml:space="preserve">конкурсный материал/ссылку, аннотацию к конкурсному материалу, платежный документ 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в </w:t>
      </w:r>
      <w:r>
        <w:rPr>
          <w:rFonts w:eastAsia="Courier New"/>
          <w:b/>
          <w:color w:val="000000"/>
          <w:spacing w:val="2"/>
          <w:sz w:val="28"/>
          <w:szCs w:val="28"/>
          <w:shd w:val="clear" w:color="auto" w:fill="ffffff"/>
        </w:rPr>
        <w:t xml:space="preserve">срок</w:t>
      </w:r>
      <w:r>
        <w:rPr>
          <w:rFonts w:eastAsia="Courier New"/>
          <w:b/>
          <w:color w:val="000000"/>
          <w:spacing w:val="2"/>
          <w:sz w:val="28"/>
          <w:szCs w:val="28"/>
          <w:shd w:val="clear" w:color="auto" w:fill="ffffff"/>
        </w:rPr>
        <w:t xml:space="preserve"> до</w:t>
      </w:r>
      <w:r>
        <w:rPr>
          <w:rFonts w:eastAsia="Courier New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eastAsia="Courier New"/>
          <w:b/>
          <w:color w:val="000000"/>
          <w:spacing w:val="2"/>
          <w:sz w:val="28"/>
          <w:szCs w:val="28"/>
          <w:shd w:val="clear" w:color="auto" w:fill="ffffff"/>
        </w:rPr>
        <w:t xml:space="preserve">25 сентября 2023 года. </w:t>
      </w:r>
      <w:r/>
    </w:p>
    <w:p>
      <w:pPr>
        <w:pStyle w:val="620"/>
        <w:numPr>
          <w:ilvl w:val="1"/>
          <w:numId w:val="6"/>
        </w:numPr>
        <w:ind w:left="0" w:firstLine="709"/>
        <w:jc w:val="both"/>
        <w:spacing w:line="276" w:lineRule="auto"/>
        <w:widowControl w:val="off"/>
        <w:tabs>
          <w:tab w:val="left" w:pos="0" w:leader="none"/>
        </w:tabs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Для участия в Конкурсе необходимо оплатить организационный взнос в размере 5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0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0 (пятьсот) руб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., </w:t>
      </w:r>
      <w:r>
        <w:rPr>
          <w:sz w:val="28"/>
          <w:szCs w:val="28"/>
        </w:rPr>
        <w:t xml:space="preserve">если с рецензией — 1500 (тысяча пятьсот) руб. (квитанция для оплаты в Приложении 2).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</w:t>
      </w:r>
      <w:r/>
    </w:p>
    <w:p>
      <w:pPr>
        <w:pStyle w:val="620"/>
        <w:numPr>
          <w:ilvl w:val="1"/>
          <w:numId w:val="6"/>
        </w:numPr>
        <w:ind w:left="0" w:firstLine="709"/>
        <w:jc w:val="both"/>
        <w:spacing w:line="276" w:lineRule="auto"/>
        <w:widowControl w:val="off"/>
        <w:tabs>
          <w:tab w:val="left" w:pos="709" w:leader="none"/>
        </w:tabs>
        <w:rPr>
          <w:rFonts w:eastAsia="Courier New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Конкурс проводится в три этапа:</w:t>
      </w:r>
      <w:r/>
    </w:p>
    <w:p>
      <w:pPr>
        <w:contextualSpacing/>
        <w:ind w:firstLine="709"/>
        <w:jc w:val="both"/>
        <w:spacing w:line="276" w:lineRule="auto"/>
        <w:widowControl w:val="off"/>
        <w:tabs>
          <w:tab w:val="left" w:pos="284" w:leader="none"/>
        </w:tabs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1 этап – 1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5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.08.2023-25.09.2023 – прием конкурсных материалов;</w:t>
      </w:r>
      <w:r/>
    </w:p>
    <w:p>
      <w:pPr>
        <w:contextualSpacing/>
        <w:ind w:firstLine="709"/>
        <w:jc w:val="both"/>
        <w:spacing w:line="276" w:lineRule="auto"/>
        <w:widowControl w:val="off"/>
        <w:tabs>
          <w:tab w:val="left" w:pos="284" w:leader="none"/>
        </w:tabs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2 этап – 26.09.2023-04.10.2023 – работа экспертной комиссии Конкурса;</w:t>
      </w:r>
      <w:r/>
    </w:p>
    <w:p>
      <w:pPr>
        <w:contextualSpacing/>
        <w:ind w:firstLine="709"/>
        <w:jc w:val="both"/>
        <w:spacing w:line="276" w:lineRule="auto"/>
        <w:widowControl w:val="off"/>
        <w:tabs>
          <w:tab w:val="left" w:pos="284" w:leader="none"/>
        </w:tabs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3 этап – 05.10.2023 – подведение итогов Конкурса.</w:t>
      </w:r>
      <w:r/>
    </w:p>
    <w:p>
      <w:pPr>
        <w:contextualSpacing/>
        <w:ind w:firstLine="709"/>
        <w:jc w:val="both"/>
        <w:spacing w:line="276" w:lineRule="auto"/>
        <w:widowControl w:val="off"/>
        <w:tabs>
          <w:tab w:val="left" w:pos="284" w:leader="none"/>
        </w:tabs>
        <w:rPr>
          <w:bCs/>
          <w:sz w:val="28"/>
          <w:szCs w:val="28"/>
        </w:rPr>
      </w:pPr>
      <w:r>
        <w:rPr>
          <w:rFonts w:eastAsia="Courier New"/>
          <w:spacing w:val="2"/>
          <w:sz w:val="28"/>
          <w:szCs w:val="28"/>
          <w:shd w:val="clear" w:color="auto" w:fill="ffffff"/>
        </w:rPr>
        <w:t xml:space="preserve">05.10.2023</w:t>
      </w:r>
      <w:r>
        <w:rPr>
          <w:rFonts w:eastAsia="Courier New"/>
          <w:spacing w:val="2"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</w:rPr>
        <w:t xml:space="preserve">на официальном сайте </w:t>
      </w:r>
      <w:r>
        <w:rPr>
          <w:bCs/>
          <w:sz w:val="28"/>
          <w:szCs w:val="28"/>
        </w:rPr>
        <w:t xml:space="preserve">Института</w:t>
      </w:r>
      <w:r>
        <w:rPr>
          <w:rFonts w:eastAsia="Courier New"/>
          <w:spacing w:val="2"/>
          <w:sz w:val="28"/>
          <w:szCs w:val="28"/>
          <w:shd w:val="clear" w:color="auto" w:fill="ffffff"/>
        </w:rPr>
        <w:t xml:space="preserve"> будут </w:t>
      </w:r>
      <w:r>
        <w:rPr>
          <w:bCs/>
          <w:sz w:val="28"/>
          <w:szCs w:val="28"/>
        </w:rPr>
        <w:t xml:space="preserve">размещены</w:t>
      </w:r>
      <w:r>
        <w:rPr>
          <w:rFonts w:eastAsia="Courier New"/>
          <w:spacing w:val="2"/>
          <w:sz w:val="28"/>
          <w:szCs w:val="28"/>
          <w:shd w:val="clear" w:color="auto" w:fill="ffffff"/>
        </w:rPr>
        <w:t xml:space="preserve"> результаты </w:t>
      </w:r>
      <w:r>
        <w:rPr>
          <w:rFonts w:eastAsia="Courier New"/>
          <w:spacing w:val="2"/>
          <w:sz w:val="28"/>
          <w:szCs w:val="28"/>
          <w:shd w:val="clear" w:color="auto" w:fill="ffffff"/>
        </w:rPr>
        <w:t xml:space="preserve">К</w:t>
      </w:r>
      <w:r>
        <w:rPr>
          <w:rFonts w:eastAsia="Courier New"/>
          <w:spacing w:val="2"/>
          <w:sz w:val="28"/>
          <w:szCs w:val="28"/>
          <w:shd w:val="clear" w:color="auto" w:fill="ffffff"/>
        </w:rPr>
        <w:t xml:space="preserve">онкурса</w:t>
      </w:r>
      <w:r>
        <w:rPr>
          <w:bCs/>
          <w:sz w:val="28"/>
          <w:szCs w:val="28"/>
        </w:rPr>
        <w:t xml:space="preserve">.</w:t>
      </w:r>
      <w:r/>
    </w:p>
    <w:p>
      <w:pPr>
        <w:contextualSpacing/>
        <w:ind w:firstLine="709"/>
        <w:jc w:val="both"/>
        <w:spacing w:line="276" w:lineRule="auto"/>
        <w:widowControl w:val="off"/>
        <w:tabs>
          <w:tab w:val="left" w:pos="284" w:leader="none"/>
        </w:tabs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 xml:space="preserve">Торжественное награждение победителей планируется в октябре в г. </w:t>
      </w:r>
      <w:r>
        <w:rPr>
          <w:bCs/>
          <w:sz w:val="28"/>
          <w:szCs w:val="28"/>
        </w:rPr>
        <w:t xml:space="preserve">Казань, дата и время будут указаны в пригласительном письме.</w:t>
      </w:r>
      <w:r/>
    </w:p>
    <w:p>
      <w:pPr>
        <w:pStyle w:val="620"/>
        <w:numPr>
          <w:ilvl w:val="1"/>
          <w:numId w:val="6"/>
        </w:numPr>
        <w:ind w:left="0" w:firstLine="709"/>
        <w:jc w:val="both"/>
        <w:spacing w:line="276" w:lineRule="auto"/>
        <w:widowControl w:val="off"/>
        <w:tabs>
          <w:tab w:val="left" w:pos="851" w:leader="none"/>
        </w:tabs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Присланные на Конкурс работы не возвращаются, апелляции не принимаются.</w:t>
      </w:r>
      <w:r/>
    </w:p>
    <w:p>
      <w:pPr>
        <w:pStyle w:val="620"/>
        <w:numPr>
          <w:ilvl w:val="1"/>
          <w:numId w:val="6"/>
        </w:numPr>
        <w:ind w:left="0" w:firstLine="709"/>
        <w:jc w:val="both"/>
        <w:spacing w:line="276" w:lineRule="auto"/>
        <w:widowControl w:val="off"/>
        <w:tabs>
          <w:tab w:val="left" w:pos="851" w:leader="none"/>
        </w:tabs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По всем интересующим вопросам можно обращаться</w:t>
      </w:r>
      <w:r>
        <w:rPr>
          <w:sz w:val="28"/>
          <w:szCs w:val="28"/>
        </w:rPr>
        <w:t xml:space="preserve">: </w:t>
      </w:r>
      <w:hyperlink r:id="rId10" w:tooltip="mailto:opnpk.irort@yandex.ru" w:history="1">
        <w:r>
          <w:rPr>
            <w:rStyle w:val="623"/>
            <w:sz w:val="28"/>
            <w:szCs w:val="28"/>
          </w:rPr>
          <w:t xml:space="preserve">opnpk.irort@yandex.ru</w:t>
        </w:r>
      </w:hyperlink>
      <w:r>
        <w:rPr>
          <w:sz w:val="28"/>
          <w:szCs w:val="28"/>
        </w:rPr>
        <w:t xml:space="preserve">, </w:t>
      </w:r>
      <w:bookmarkStart w:id="1" w:name="_Hlk142921808"/>
      <w:r>
        <w:rPr>
          <w:sz w:val="28"/>
          <w:szCs w:val="28"/>
        </w:rPr>
        <w:t xml:space="preserve">(843) 236-69-01; 89872340024</w:t>
      </w:r>
      <w:bookmarkEnd w:id="1"/>
      <w:r>
        <w:rPr>
          <w:sz w:val="28"/>
          <w:szCs w:val="28"/>
          <w:lang w:val="tt-RU"/>
        </w:rPr>
        <w:t xml:space="preserve">.</w:t>
      </w:r>
      <w:r>
        <w:rPr>
          <w:sz w:val="28"/>
          <w:szCs w:val="28"/>
          <w:lang w:val="tt-RU"/>
        </w:rPr>
        <w:t xml:space="preserve"> </w:t>
      </w:r>
      <w:r/>
    </w:p>
    <w:p>
      <w:pPr>
        <w:pStyle w:val="620"/>
        <w:ind w:left="709"/>
        <w:jc w:val="both"/>
        <w:spacing w:line="276" w:lineRule="auto"/>
        <w:widowControl w:val="off"/>
        <w:tabs>
          <w:tab w:val="left" w:pos="851" w:leader="none"/>
        </w:tabs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r>
      <w:r/>
    </w:p>
    <w:p>
      <w:pPr>
        <w:numPr>
          <w:ilvl w:val="0"/>
          <w:numId w:val="7"/>
        </w:numPr>
        <w:contextualSpacing/>
        <w:ind w:left="0" w:firstLine="709"/>
        <w:jc w:val="center"/>
        <w:spacing w:line="360" w:lineRule="auto"/>
        <w:widowControl w:val="off"/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 xml:space="preserve">Порядок и регламент оценки конкурсных работ</w:t>
      </w:r>
      <w:r/>
    </w:p>
    <w:p>
      <w:pPr>
        <w:contextualSpacing/>
        <w:ind w:firstLine="709"/>
        <w:jc w:val="both"/>
        <w:spacing w:line="276" w:lineRule="auto"/>
        <w:widowControl w:val="off"/>
        <w:tabs>
          <w:tab w:val="left" w:pos="0" w:leader="none"/>
        </w:tabs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7.1.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ab/>
        <w:t xml:space="preserve">Конкурсные работы оцениваются 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экспертной комиссией.</w:t>
      </w:r>
      <w:r/>
    </w:p>
    <w:p>
      <w:pPr>
        <w:contextualSpacing/>
        <w:ind w:firstLine="709"/>
        <w:jc w:val="both"/>
        <w:spacing w:line="276" w:lineRule="auto"/>
        <w:widowControl w:val="off"/>
        <w:tabs>
          <w:tab w:val="left" w:pos="0" w:leader="none"/>
        </w:tabs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7.2.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ab/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В состав экспертной комиссии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входят сотрудники Института и профильных учреждений.</w:t>
      </w:r>
      <w:r/>
    </w:p>
    <w:p>
      <w:pPr>
        <w:contextualSpacing/>
        <w:ind w:firstLine="709"/>
        <w:jc w:val="both"/>
        <w:spacing w:line="276" w:lineRule="auto"/>
        <w:widowControl w:val="off"/>
        <w:tabs>
          <w:tab w:val="left" w:pos="0" w:leader="none"/>
        </w:tabs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7.3.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ab/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Состав э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кспертн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ой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комисси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и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утверждается приказом Института.</w:t>
      </w:r>
      <w:r/>
    </w:p>
    <w:p>
      <w:pPr>
        <w:contextualSpacing/>
        <w:ind w:firstLine="709"/>
        <w:jc w:val="both"/>
        <w:spacing w:line="276" w:lineRule="auto"/>
        <w:widowControl w:val="off"/>
        <w:tabs>
          <w:tab w:val="left" w:pos="0" w:leader="none"/>
        </w:tabs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7.4.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ab/>
        <w:t xml:space="preserve">Победители Конкурса определяются на основе установления соответствия выполняемых ими работ следующим критериям:</w:t>
      </w:r>
      <w:r/>
    </w:p>
    <w:p>
      <w:pPr>
        <w:contextualSpacing/>
        <w:ind w:firstLine="709"/>
        <w:spacing w:line="276" w:lineRule="auto"/>
        <w:widowControl w:val="off"/>
        <w:tabs>
          <w:tab w:val="left" w:pos="0" w:leader="none"/>
        </w:tabs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r>
      <w:r/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"/>
        <w:gridCol w:w="8221"/>
        <w:gridCol w:w="872"/>
      </w:tblGrid>
      <w:tr>
        <w:trPr>
          <w:trHeight w:val="667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411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8221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Критерии оценки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72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Балл оценки</w:t>
            </w:r>
            <w:r/>
          </w:p>
        </w:tc>
      </w:tr>
      <w:tr>
        <w:trPr>
          <w:trHeight w:val="597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11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8"/>
              </w:numPr>
              <w:jc w:val="center"/>
              <w:spacing w:after="1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2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ктуальность конкурсной работы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2" w:type="dxa"/>
            <w:vAlign w:val="bottom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0–5</w:t>
            </w:r>
            <w:r/>
          </w:p>
        </w:tc>
      </w:tr>
      <w:tr>
        <w:trPr>
          <w:trHeight w:val="621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8"/>
              </w:numPr>
              <w:jc w:val="center"/>
              <w:spacing w:after="1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Новизна и инновационность работы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2" w:type="dxa"/>
            <w:vAlign w:val="bottom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0–5</w:t>
            </w:r>
            <w:r/>
          </w:p>
        </w:tc>
      </w:tr>
      <w:tr>
        <w:trPr>
          <w:trHeight w:val="531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411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8"/>
              </w:numPr>
              <w:jc w:val="center"/>
              <w:spacing w:after="1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82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Практическая значимость работы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72" w:type="dxa"/>
            <w:vAlign w:val="bottom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0–5</w:t>
            </w:r>
            <w:r/>
          </w:p>
        </w:tc>
      </w:tr>
      <w:tr>
        <w:trPr>
          <w:trHeight w:val="569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411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8"/>
              </w:numPr>
              <w:jc w:val="center"/>
              <w:spacing w:after="1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82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  <w:t xml:space="preserve">лубина содержания и уровень раскрытия темы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72" w:type="dxa"/>
            <w:vAlign w:val="bottom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0–5</w:t>
            </w:r>
            <w:r/>
          </w:p>
        </w:tc>
      </w:tr>
      <w:tr>
        <w:trPr>
          <w:trHeight w:val="903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411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8"/>
              </w:numPr>
              <w:jc w:val="center"/>
              <w:spacing w:after="1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82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</w:t>
            </w:r>
            <w:r>
              <w:rPr>
                <w:sz w:val="28"/>
                <w:szCs w:val="28"/>
              </w:rPr>
              <w:t xml:space="preserve">ладение современными методиками и приемами</w:t>
            </w:r>
            <w:r>
              <w:rPr>
                <w:sz w:val="28"/>
                <w:szCs w:val="28"/>
              </w:rPr>
              <w:t xml:space="preserve">, разнообразие инструментов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72" w:type="dxa"/>
            <w:vAlign w:val="bottom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0–5</w:t>
            </w:r>
            <w:r/>
          </w:p>
        </w:tc>
      </w:tr>
      <w:tr>
        <w:trPr>
          <w:trHeight w:val="1329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411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8"/>
              </w:numPr>
              <w:jc w:val="center"/>
              <w:spacing w:after="1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82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Креативность, т</w:t>
            </w:r>
            <w:r>
              <w:rPr>
                <w:sz w:val="28"/>
                <w:szCs w:val="28"/>
              </w:rPr>
              <w:t xml:space="preserve">ворческий подход при разработке и оформлении материалов, использование оригинальных форм и элементов исполнения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72" w:type="dxa"/>
            <w:vAlign w:val="bottom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0–5</w:t>
            </w:r>
            <w:r/>
          </w:p>
        </w:tc>
      </w:tr>
      <w:tr>
        <w:trPr>
          <w:trHeight w:val="855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11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8"/>
              </w:numPr>
              <w:jc w:val="center"/>
              <w:spacing w:after="1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2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Соответствие характера информации возрасту и психологическим особенностям целевой аудитории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2" w:type="dxa"/>
            <w:vAlign w:val="bottom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0–5</w:t>
            </w:r>
            <w:r/>
          </w:p>
        </w:tc>
      </w:tr>
      <w:tr>
        <w:trPr>
          <w:trHeight w:val="852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411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8"/>
              </w:numPr>
              <w:jc w:val="center"/>
              <w:spacing w:after="1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822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Языковая грамотность текста (речевая, грамматическая, орфографическая и пунктуационная)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2" w:type="dxa"/>
            <w:vAlign w:val="bottom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0–5</w:t>
            </w:r>
            <w:r/>
          </w:p>
        </w:tc>
      </w:tr>
    </w:tbl>
    <w:p>
      <w:pPr>
        <w:contextualSpacing/>
        <w:spacing w:line="360" w:lineRule="auto"/>
        <w:widowControl w:val="off"/>
        <w:tabs>
          <w:tab w:val="left" w:pos="0" w:leader="none"/>
        </w:tabs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r>
      <w:r/>
    </w:p>
    <w:p>
      <w:pPr>
        <w:ind w:firstLine="709"/>
        <w:jc w:val="center"/>
        <w:spacing w:line="360" w:lineRule="auto"/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 xml:space="preserve">8. Награждение</w:t>
      </w:r>
      <w:r/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8.1. По итогам </w:t>
      </w:r>
      <w:r>
        <w:rPr>
          <w:sz w:val="28"/>
          <w:szCs w:val="28"/>
        </w:rPr>
        <w:t xml:space="preserve">Конкурса экспертной комиссией</w:t>
      </w:r>
      <w:r>
        <w:rPr>
          <w:sz w:val="28"/>
          <w:szCs w:val="28"/>
        </w:rPr>
        <w:t xml:space="preserve"> определяются победители 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призеры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(I, II, III место)</w:t>
      </w:r>
      <w:r>
        <w:rPr>
          <w:sz w:val="28"/>
          <w:szCs w:val="28"/>
        </w:rPr>
        <w:t xml:space="preserve">, а также</w:t>
      </w:r>
      <w:r>
        <w:rPr>
          <w:sz w:val="28"/>
          <w:szCs w:val="28"/>
        </w:rPr>
        <w:t xml:space="preserve"> лауреаты по каждой номинации, которые награждаются дипломами. Количество призовых мест не ограничивается.</w:t>
      </w:r>
      <w:r/>
    </w:p>
    <w:p>
      <w:pPr>
        <w:contextualSpacing/>
        <w:ind w:firstLine="709"/>
        <w:jc w:val="both"/>
        <w:spacing w:line="276" w:lineRule="auto"/>
        <w:widowControl w:val="off"/>
        <w:tabs>
          <w:tab w:val="left" w:pos="284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Торжественное награждение победителей планируется в октябре в г. Казань, дата и время будут указаны в пригласительном письме.</w:t>
      </w:r>
      <w:r/>
    </w:p>
    <w:p>
      <w:pPr>
        <w:contextualSpacing/>
        <w:ind w:firstLine="709"/>
        <w:jc w:val="both"/>
        <w:spacing w:line="276" w:lineRule="auto"/>
        <w:widowControl w:val="off"/>
        <w:tabs>
          <w:tab w:val="left" w:pos="28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8.2. Конкурсанты, не вошедшие в число победителей</w:t>
      </w:r>
      <w:r>
        <w:rPr>
          <w:sz w:val="28"/>
          <w:szCs w:val="28"/>
        </w:rPr>
        <w:t xml:space="preserve">/призеров</w:t>
      </w:r>
      <w:r>
        <w:rPr>
          <w:sz w:val="28"/>
          <w:szCs w:val="28"/>
        </w:rPr>
        <w:t xml:space="preserve"> и лауреатов, получают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сертификаты участников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 xml:space="preserve">экспертной комиссии</w:t>
      </w:r>
      <w:r>
        <w:rPr>
          <w:sz w:val="28"/>
          <w:szCs w:val="28"/>
        </w:rPr>
        <w:t xml:space="preserve"> является окончательным и пересмотру не подлежит.</w:t>
      </w:r>
      <w:r/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8.3. Лучшие работы будут рекомендованы для публикации в </w:t>
      </w:r>
      <w:r>
        <w:rPr>
          <w:sz w:val="28"/>
          <w:szCs w:val="28"/>
        </w:rPr>
        <w:t xml:space="preserve">сетевом издании Института</w:t>
      </w:r>
      <w:r>
        <w:rPr>
          <w:sz w:val="28"/>
          <w:szCs w:val="28"/>
        </w:rPr>
        <w:t xml:space="preserve"> «Современное образование: актуальные вопросы и инновации». Дополнительная информация по ссылке:</w:t>
      </w:r>
      <w:r>
        <w:rPr>
          <w:sz w:val="28"/>
          <w:szCs w:val="28"/>
        </w:rPr>
        <w:t xml:space="preserve"> </w:t>
      </w:r>
      <w:hyperlink r:id="rId11" w:tooltip="http://irortsmi.ru/o_jurnale/" w:history="1">
        <w:r>
          <w:rPr>
            <w:rStyle w:val="623"/>
            <w:sz w:val="28"/>
            <w:szCs w:val="28"/>
          </w:rPr>
          <w:t xml:space="preserve">http://irortsmi.ru/o_jurnal</w:t>
        </w:r>
        <w:r>
          <w:rPr>
            <w:rStyle w:val="623"/>
            <w:sz w:val="28"/>
            <w:szCs w:val="28"/>
          </w:rPr>
          <w:t xml:space="preserve">e</w:t>
        </w:r>
        <w:r>
          <w:rPr>
            <w:rStyle w:val="623"/>
            <w:sz w:val="28"/>
            <w:szCs w:val="28"/>
          </w:rPr>
          <w:t xml:space="preserve">/</w:t>
        </w:r>
      </w:hyperlink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276" w:lineRule="auto"/>
        <w:rPr>
          <w:rFonts w:eastAsia="Courier New"/>
          <w:color w:val="ff0000"/>
          <w:spacing w:val="2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8.4. Дипломы и сертификаты </w:t>
      </w:r>
      <w:r>
        <w:rPr>
          <w:sz w:val="28"/>
          <w:szCs w:val="28"/>
        </w:rPr>
        <w:t xml:space="preserve">участников, </w:t>
      </w:r>
      <w:r>
        <w:rPr>
          <w:sz w:val="28"/>
          <w:szCs w:val="28"/>
        </w:rPr>
        <w:t xml:space="preserve">оформл</w:t>
      </w:r>
      <w:r>
        <w:rPr>
          <w:sz w:val="28"/>
          <w:szCs w:val="28"/>
        </w:rPr>
        <w:t xml:space="preserve">енные</w:t>
      </w:r>
      <w:r>
        <w:rPr>
          <w:sz w:val="28"/>
          <w:szCs w:val="28"/>
        </w:rPr>
        <w:t xml:space="preserve"> по данным полученных заявок</w:t>
      </w:r>
      <w:r>
        <w:rPr>
          <w:sz w:val="28"/>
          <w:szCs w:val="28"/>
        </w:rPr>
        <w:t xml:space="preserve">, напра</w:t>
      </w:r>
      <w:r>
        <w:rPr>
          <w:sz w:val="28"/>
          <w:szCs w:val="28"/>
        </w:rPr>
        <w:t xml:space="preserve">вляются в PDF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формате</w:t>
      </w:r>
      <w:r>
        <w:rPr>
          <w:sz w:val="28"/>
          <w:szCs w:val="28"/>
        </w:rPr>
        <w:t xml:space="preserve"> </w:t>
      </w:r>
      <w:r>
        <w:rPr>
          <w:rFonts w:eastAsia="Courier New"/>
          <w:spacing w:val="2"/>
          <w:sz w:val="28"/>
          <w:szCs w:val="28"/>
          <w:shd w:val="clear" w:color="auto" w:fill="ffffff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</w:t>
      </w:r>
      <w:r>
        <w:rPr>
          <w:sz w:val="28"/>
          <w:szCs w:val="28"/>
        </w:rPr>
        <w:t xml:space="preserve">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адрес, указанный в заявке.</w:t>
      </w:r>
      <w:r>
        <w:rPr>
          <w:sz w:val="28"/>
          <w:szCs w:val="28"/>
        </w:rPr>
        <w:t xml:space="preserve"> </w:t>
      </w:r>
      <w:r>
        <w:rPr>
          <w:rFonts w:eastAsia="Courier New"/>
          <w:color w:val="ff0000"/>
          <w:spacing w:val="2"/>
          <w:sz w:val="28"/>
          <w:szCs w:val="28"/>
          <w:shd w:val="clear" w:color="auto" w:fill="ffffff"/>
        </w:rPr>
        <w:br w:type="page" w:clear="all"/>
      </w:r>
      <w:r/>
    </w:p>
    <w:p>
      <w:pPr>
        <w:jc w:val="right"/>
        <w:spacing w:line="276" w:lineRule="auto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Приложение 1</w:t>
      </w:r>
      <w:r/>
    </w:p>
    <w:p>
      <w:pPr>
        <w:jc w:val="right"/>
        <w:spacing w:line="276" w:lineRule="auto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к 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Положени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ю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о республиканском </w:t>
      </w:r>
      <w:r/>
    </w:p>
    <w:p>
      <w:pPr>
        <w:jc w:val="right"/>
        <w:spacing w:line="276" w:lineRule="auto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научно-педагогическом конкурсе </w:t>
      </w:r>
      <w:r/>
    </w:p>
    <w:p>
      <w:pPr>
        <w:jc w:val="right"/>
        <w:spacing w:line="276" w:lineRule="auto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«Педагог-исследователь: </w:t>
      </w:r>
      <w:r/>
    </w:p>
    <w:p>
      <w:pPr>
        <w:jc w:val="right"/>
        <w:spacing w:line="276" w:lineRule="auto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опыт, инновации, перспективы»</w:t>
      </w:r>
      <w:r/>
    </w:p>
    <w:p>
      <w:pPr>
        <w:jc w:val="right"/>
        <w:spacing w:line="276" w:lineRule="auto"/>
        <w:rPr>
          <w:rFonts w:eastAsia="Courier New"/>
          <w:color w:val="000000"/>
          <w:spacing w:val="2"/>
          <w:sz w:val="28"/>
          <w:szCs w:val="28"/>
          <w:shd w:val="clear" w:color="auto" w:fill="ffffff"/>
          <w:lang w:val="tt-RU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  <w:lang w:val="tt-RU"/>
        </w:rPr>
      </w:r>
      <w:r/>
    </w:p>
    <w:p>
      <w:pPr>
        <w:jc w:val="center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организационного комитета конкурса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организационного комитета: </w:t>
      </w:r>
      <w:r>
        <w:rPr>
          <w:sz w:val="28"/>
          <w:szCs w:val="28"/>
        </w:rPr>
        <w:t xml:space="preserve">Нугуманова</w:t>
      </w:r>
      <w:r>
        <w:rPr>
          <w:sz w:val="28"/>
          <w:szCs w:val="28"/>
        </w:rPr>
        <w:t xml:space="preserve"> Людмила Николаевна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ректор ГАОУ ДПО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РО РТ, д-р пед. наук 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Члены организационного комитета: 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Хамитов Равиль </w:t>
      </w:r>
      <w:r>
        <w:rPr>
          <w:sz w:val="28"/>
          <w:szCs w:val="28"/>
        </w:rPr>
        <w:t xml:space="preserve">Габдулхакович</w:t>
      </w:r>
      <w:r>
        <w:rPr>
          <w:sz w:val="28"/>
          <w:szCs w:val="28"/>
        </w:rPr>
        <w:t xml:space="preserve"> – п</w:t>
      </w:r>
      <w:r>
        <w:rPr>
          <w:sz w:val="28"/>
          <w:szCs w:val="28"/>
        </w:rPr>
        <w:t xml:space="preserve">роректор по стратегическому и </w:t>
      </w:r>
      <w:r>
        <w:rPr>
          <w:sz w:val="28"/>
          <w:szCs w:val="28"/>
        </w:rPr>
        <w:t xml:space="preserve">экономическому развитию ГАОУ ДПО ИРО РТ, канд. пед. наук;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Хохлов Александр Викторович</w:t>
      </w:r>
      <w:r>
        <w:rPr>
          <w:sz w:val="28"/>
          <w:szCs w:val="28"/>
        </w:rPr>
        <w:t xml:space="preserve"> – п</w:t>
      </w:r>
      <w:r>
        <w:rPr>
          <w:sz w:val="28"/>
          <w:szCs w:val="28"/>
        </w:rPr>
        <w:t xml:space="preserve">роректор по учебно-методической работе</w:t>
      </w:r>
      <w:r>
        <w:rPr>
          <w:sz w:val="28"/>
          <w:szCs w:val="28"/>
        </w:rPr>
        <w:t xml:space="preserve"> ГАОУ ДПО ИРО РТ, канд. пед. наук;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Шамсутдинова Лариса Петровна</w:t>
      </w:r>
      <w:r>
        <w:rPr>
          <w:sz w:val="28"/>
          <w:szCs w:val="28"/>
        </w:rPr>
        <w:t xml:space="preserve"> – п</w:t>
      </w:r>
      <w:r>
        <w:rPr>
          <w:sz w:val="28"/>
          <w:szCs w:val="28"/>
        </w:rPr>
        <w:t xml:space="preserve">роректор по научной и </w:t>
      </w:r>
      <w:r>
        <w:rPr>
          <w:sz w:val="28"/>
          <w:szCs w:val="28"/>
        </w:rPr>
        <w:t xml:space="preserve">инновационной деятельности ГАОУ ДПО ИРО РТ, канд. хим. наук;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Хисматова</w:t>
      </w:r>
      <w:r>
        <w:rPr>
          <w:sz w:val="28"/>
          <w:szCs w:val="28"/>
        </w:rPr>
        <w:t xml:space="preserve"> Лилия </w:t>
      </w:r>
      <w:r>
        <w:rPr>
          <w:sz w:val="28"/>
          <w:szCs w:val="28"/>
        </w:rPr>
        <w:t xml:space="preserve">Котдусовна</w:t>
      </w:r>
      <w:r>
        <w:rPr>
          <w:sz w:val="28"/>
          <w:szCs w:val="28"/>
        </w:rPr>
        <w:t xml:space="preserve"> – начальник отдела подготовки научно-педагогических кадров ГАОУ ДПО ИРО РТ, канд. фил. наук;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Науметова Раиля </w:t>
      </w:r>
      <w:r>
        <w:rPr>
          <w:sz w:val="28"/>
          <w:szCs w:val="28"/>
        </w:rPr>
        <w:t xml:space="preserve">Ринатовна</w:t>
      </w:r>
      <w:r>
        <w:rPr>
          <w:sz w:val="28"/>
          <w:szCs w:val="28"/>
        </w:rPr>
        <w:t xml:space="preserve"> – научный сотрудник отдела подготовки научно-педагогических кадров ГАОУ ДПО ИРО РТ.</w:t>
      </w:r>
      <w:r/>
    </w:p>
    <w:p>
      <w:pPr>
        <w:jc w:val="right"/>
        <w:spacing w:line="276" w:lineRule="auto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  <w:lang w:val="tt-RU"/>
        </w:rPr>
        <w:br w:type="column"/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Приложение 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2</w:t>
      </w:r>
      <w:r/>
    </w:p>
    <w:p>
      <w:pPr>
        <w:jc w:val="right"/>
        <w:spacing w:line="276" w:lineRule="auto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к 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Положени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ю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о республиканском </w:t>
      </w:r>
      <w:r/>
    </w:p>
    <w:p>
      <w:pPr>
        <w:jc w:val="right"/>
        <w:spacing w:line="276" w:lineRule="auto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научно-педагогическом конкурсе </w:t>
      </w:r>
      <w:r/>
    </w:p>
    <w:p>
      <w:pPr>
        <w:jc w:val="right"/>
        <w:spacing w:line="276" w:lineRule="auto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«Педагог-исследователь: </w:t>
      </w:r>
      <w:r/>
    </w:p>
    <w:p>
      <w:pPr>
        <w:jc w:val="right"/>
        <w:spacing w:line="276" w:lineRule="auto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опыт, инновации, перспективы»</w:t>
      </w:r>
      <w:r/>
    </w:p>
    <w:p>
      <w:pPr>
        <w:jc w:val="right"/>
        <w:spacing w:line="276" w:lineRule="auto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r>
      <w:r/>
    </w:p>
    <w:p>
      <w:pPr>
        <w:ind w:firstLine="709"/>
        <w:spacing w:line="276" w:lineRule="auto"/>
        <w:rPr>
          <w:lang w:val="tt-RU"/>
        </w:rPr>
      </w:pPr>
      <w:r>
        <w:rPr>
          <w:lang w:val="tt-RU"/>
        </w:rPr>
      </w:r>
      <w:r/>
    </w:p>
    <w:p>
      <w:pPr>
        <w:ind w:firstLine="142"/>
        <w:spacing w:line="360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765" cy="612076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120765" cy="6120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1.9pt;height:481.9pt;mso-wrap-distance-left:0.0pt;mso-wrap-distance-top:0.0pt;mso-wrap-distance-right:0.0pt;mso-wrap-distance-bottom:0.0pt;" stroked="f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ind w:firstLine="142"/>
        <w:spacing w:line="360" w:lineRule="auto"/>
      </w:pPr>
      <w:r/>
      <w:r/>
    </w:p>
    <w:p>
      <w:pPr>
        <w:pStyle w:val="620"/>
        <w:ind w:left="450"/>
        <w:spacing w:line="276" w:lineRule="auto"/>
        <w:tabs>
          <w:tab w:val="left" w:pos="0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/>
    </w:p>
    <w:p>
      <w:pPr>
        <w:contextualSpacing/>
        <w:ind w:firstLine="709"/>
        <w:spacing w:line="276" w:lineRule="auto"/>
        <w:tabs>
          <w:tab w:val="left" w:pos="0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/>
    </w:p>
    <w:p>
      <w:pPr>
        <w:jc w:val="both"/>
        <w:spacing w:line="360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2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1069" w:hanging="360"/>
      </w:pPr>
      <w:rPr>
        <w:rFonts w:hint="default" w:eastAsia="Times New Roman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1564" w:hanging="85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564" w:hanging="855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1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5"/>
    <w:next w:val="615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6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5"/>
    <w:next w:val="61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6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5"/>
    <w:next w:val="61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5"/>
    <w:next w:val="61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5"/>
    <w:next w:val="61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5"/>
    <w:next w:val="61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5"/>
    <w:next w:val="61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5"/>
    <w:next w:val="61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5"/>
    <w:next w:val="61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5"/>
    <w:next w:val="61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6"/>
    <w:link w:val="34"/>
    <w:uiPriority w:val="10"/>
    <w:rPr>
      <w:sz w:val="48"/>
      <w:szCs w:val="48"/>
    </w:rPr>
  </w:style>
  <w:style w:type="paragraph" w:styleId="36">
    <w:name w:val="Subtitle"/>
    <w:basedOn w:val="615"/>
    <w:next w:val="61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6"/>
    <w:link w:val="36"/>
    <w:uiPriority w:val="11"/>
    <w:rPr>
      <w:sz w:val="24"/>
      <w:szCs w:val="24"/>
    </w:rPr>
  </w:style>
  <w:style w:type="paragraph" w:styleId="38">
    <w:name w:val="Quote"/>
    <w:basedOn w:val="615"/>
    <w:next w:val="61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5"/>
    <w:next w:val="61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5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6"/>
    <w:link w:val="42"/>
    <w:uiPriority w:val="99"/>
  </w:style>
  <w:style w:type="paragraph" w:styleId="44">
    <w:name w:val="Footer"/>
    <w:basedOn w:val="615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6"/>
    <w:link w:val="44"/>
    <w:uiPriority w:val="99"/>
  </w:style>
  <w:style w:type="paragraph" w:styleId="46">
    <w:name w:val="Caption"/>
    <w:basedOn w:val="615"/>
    <w:next w:val="61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6"/>
    <w:uiPriority w:val="99"/>
    <w:unhideWhenUsed/>
    <w:rPr>
      <w:vertAlign w:val="superscript"/>
    </w:rPr>
  </w:style>
  <w:style w:type="paragraph" w:styleId="178">
    <w:name w:val="endnote text"/>
    <w:basedOn w:val="61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6"/>
    <w:uiPriority w:val="99"/>
    <w:semiHidden/>
    <w:unhideWhenUsed/>
    <w:rPr>
      <w:vertAlign w:val="superscript"/>
    </w:rPr>
  </w:style>
  <w:style w:type="paragraph" w:styleId="181">
    <w:name w:val="toc 1"/>
    <w:basedOn w:val="615"/>
    <w:next w:val="61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5"/>
    <w:next w:val="61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5"/>
    <w:next w:val="61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5"/>
    <w:next w:val="61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5"/>
    <w:next w:val="61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5"/>
    <w:next w:val="61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5"/>
    <w:next w:val="61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5"/>
    <w:next w:val="61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5"/>
    <w:next w:val="61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5"/>
    <w:next w:val="615"/>
    <w:uiPriority w:val="99"/>
    <w:unhideWhenUsed/>
    <w:pPr>
      <w:spacing w:after="0" w:afterAutospacing="0"/>
    </w:pPr>
  </w:style>
  <w:style w:type="paragraph" w:styleId="61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16" w:default="1">
    <w:name w:val="Default Paragraph Font"/>
    <w:uiPriority w:val="1"/>
    <w:semiHidden/>
    <w:unhideWhenUsed/>
  </w:style>
  <w:style w:type="table" w:styleId="61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8" w:default="1">
    <w:name w:val="No List"/>
    <w:uiPriority w:val="99"/>
    <w:semiHidden/>
    <w:unhideWhenUsed/>
  </w:style>
  <w:style w:type="paragraph" w:styleId="619">
    <w:name w:val="Normal (Web)"/>
    <w:basedOn w:val="615"/>
    <w:uiPriority w:val="99"/>
    <w:pPr>
      <w:spacing w:before="100" w:beforeAutospacing="1" w:after="100" w:afterAutospacing="1"/>
    </w:pPr>
  </w:style>
  <w:style w:type="paragraph" w:styleId="620">
    <w:name w:val="List Paragraph"/>
    <w:basedOn w:val="615"/>
    <w:uiPriority w:val="34"/>
    <w:qFormat/>
    <w:pPr>
      <w:contextualSpacing/>
      <w:ind w:left="720"/>
    </w:pPr>
  </w:style>
  <w:style w:type="paragraph" w:styleId="621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table" w:styleId="622">
    <w:name w:val="Table Grid"/>
    <w:basedOn w:val="61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23">
    <w:name w:val="Hyperlink"/>
    <w:basedOn w:val="616"/>
    <w:uiPriority w:val="99"/>
    <w:unhideWhenUsed/>
    <w:rPr>
      <w:color w:val="0563c1" w:themeColor="hyperlink"/>
      <w:u w:val="single"/>
    </w:rPr>
  </w:style>
  <w:style w:type="character" w:styleId="624">
    <w:name w:val="Unresolved Mention"/>
    <w:basedOn w:val="616"/>
    <w:uiPriority w:val="99"/>
    <w:semiHidden/>
    <w:unhideWhenUsed/>
    <w:rPr>
      <w:color w:val="605e5c"/>
      <w:shd w:val="clear" w:color="auto" w:fill="e1dfdd"/>
    </w:rPr>
  </w:style>
  <w:style w:type="character" w:styleId="625">
    <w:name w:val="FollowedHyperlink"/>
    <w:basedOn w:val="616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forms.yandex.ru/cloud/64c79fb673cee7824f4764e8/" TargetMode="External"/><Relationship Id="rId10" Type="http://schemas.openxmlformats.org/officeDocument/2006/relationships/hyperlink" Target="mailto:opnpk.irort@yandex.ru" TargetMode="External"/><Relationship Id="rId11" Type="http://schemas.openxmlformats.org/officeDocument/2006/relationships/hyperlink" Target="http://irortsmi.ru/o_jurnale/" TargetMode="External"/><Relationship Id="rId12" Type="http://schemas.openxmlformats.org/officeDocument/2006/relationships/image" Target="media/image1.e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Отдел подготовки научно-педагогических кадров ГАОУ ДПО ИРО РТ</cp:lastModifiedBy>
  <cp:revision>3</cp:revision>
  <dcterms:created xsi:type="dcterms:W3CDTF">2023-08-14T13:21:00Z</dcterms:created>
  <dcterms:modified xsi:type="dcterms:W3CDTF">2023-08-15T09:58:16Z</dcterms:modified>
</cp:coreProperties>
</file>