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pic="http://schemas.openxmlformats.org/drawingml/2006/picture" xmlns:wp="http://schemas.openxmlformats.org/drawingml/2006/wordprocessingDrawing" xmlns:mc="http://schemas.openxmlformats.org/markup-compatibility/2006" xmlns:r="http://schemas.openxmlformats.org/officeDocument/2006/relationships" xmlns:a="http://schemas.openxmlformats.org/drawingml/2006/main" w:conformance="transitional" mc:Ignorable="vyd">
  <w:background/>
  <w:body vyd:_id="vyd:00000000000001">
    <w:p vyd:_id="vyd:000000000000a3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a">н/н⁸ПОЛОЖЕНИЕ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9" xml:space="preserve"> О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8" xml:space="preserve"> </w:t>
      </w:r>
      <w:r>
        <w:rPr>
          <w:rFonts w:ascii="Times New Roman" w:hAnsi="Times New Roman" w:eastAsia="Times New Roman" w:cs="Times New Roman"/>
          <w:sz w:val="24"/>
          <w:b w:val="1"/>
          <w:lang w:val="tt-RU"/>
          <w:bCs w:val="1"/>
          <w:szCs w:val="24"/>
        </w:rPr>
        <w:t vyd:_id="vyd:000000000000a7">РЕСПУБЛИКАНСКО</w:t>
      </w:r>
      <w:r>
        <w:rPr>
          <w:rFonts w:ascii="Times New Roman" w:hAnsi="Times New Roman" w:eastAsia="Times New Roman" w:cs="Times New Roman"/>
          <w:sz w:val="24"/>
          <w:b w:val="1"/>
          <w:lang w:val="tt-RU"/>
          <w:bCs w:val="1"/>
          <w:szCs w:val="24"/>
        </w:rPr>
        <w:t vyd:_id="vyd:000000000000a6">М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5" xml:space="preserve"> КОНКУРС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4">Е</w:t>
      </w:r>
    </w:p>
    <w:p vyd:_id="vyd:000000000000a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2" xml:space="preserve">дидактических 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a1">материалов</w:t>
      </w:r>
    </w:p>
    <w:p vyd:_id="vyd:0000000000009u">
      <w:pPr>
        <w:shd w:val="clear" w:color="auto" w:fill="ffffff"/>
        <w:spacing w:after="0" w:line="240" w:lineRule="auto"/>
        <w:ind w:firstLine="567"/>
        <w:jc w:val="center"/>
        <w:rPr>
          <w:rStyle w:val="835"/>
          <w:rFonts w:ascii="Times New Roman" w:hAnsi="Times New Roman" w:cs="Times New Roman"/>
          <w:sz w:val="24"/>
          <w:iCs w:val="1"/>
          <w:szCs w:val="24"/>
        </w:rPr>
      </w:pPr>
      <w:r>
        <w:rPr>
          <w:rStyle w:val="835"/>
          <w:rFonts w:ascii="Times New Roman" w:hAnsi="Times New Roman" w:cs="Times New Roman"/>
          <w:sz w:val="24"/>
          <w:iCs w:val="1"/>
          <w:szCs w:val="24"/>
        </w:rPr>
        <w:t vyd:_id="vyd:0000000000009z">«Лучшее</w:t>
      </w:r>
      <w:r>
        <w:rPr>
          <w:rStyle w:val="835"/>
          <w:rFonts w:ascii="Times New Roman" w:hAnsi="Times New Roman" w:cs="Times New Roman"/>
          <w:sz w:val="24"/>
          <w:lang w:val="tt-RU"/>
          <w:iCs w:val="1"/>
          <w:szCs w:val="24"/>
        </w:rPr>
        <w:t vyd:_id="vyd:0000000000009y" xml:space="preserve"> </w:t>
      </w:r>
      <w:r>
        <w:rPr>
          <w:rStyle w:val="835"/>
          <w:rFonts w:ascii="Times New Roman" w:hAnsi="Times New Roman" w:cs="Times New Roman"/>
          <w:sz w:val="24"/>
          <w:iCs w:val="1"/>
          <w:szCs w:val="24"/>
        </w:rPr>
        <w:t vyd:_id="vyd:0000000000009x">дидактическое пособие по патриотическому воспитанию</w:t>
      </w:r>
      <w:r>
        <w:rPr>
          <w:rStyle w:val="835"/>
          <w:rFonts w:ascii="Times New Roman" w:hAnsi="Times New Roman" w:cs="Times New Roman"/>
          <w:sz w:val="24"/>
          <w:lang w:val="tt-RU"/>
          <w:iCs w:val="1"/>
          <w:szCs w:val="24"/>
        </w:rPr>
        <w:t vyd:_id="vyd:0000000000009w" xml:space="preserve"> –2025</w:t>
      </w:r>
      <w:r>
        <w:rPr>
          <w:rStyle w:val="835"/>
          <w:rFonts w:ascii="Times New Roman" w:hAnsi="Times New Roman" w:cs="Times New Roman"/>
          <w:sz w:val="24"/>
          <w:iCs w:val="1"/>
          <w:szCs w:val="24"/>
        </w:rPr>
        <w:t vyd:_id="vyd:0000000000009v">» для педагогов дошкольных организаций</w:t>
      </w:r>
    </w:p>
    <w:p vyd:_id="vyd:0000000000009t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vyd:_id="vyd:0000000000009q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rStyle w:val="835"/>
          <w:color w:val="111111"/>
        </w:rPr>
      </w:pPr>
      <w:r>
        <w:rPr>
          <w:color w:val="111111"/>
          <w:b w:val="1"/>
          <w:bCs w:val="1"/>
        </w:rPr>
        <w:t vyd:_id="vyd:0000000000009s" xml:space="preserve">1. Общие </w:t>
      </w:r>
      <w:r>
        <w:rPr>
          <w:rStyle w:val="835"/>
          <w:color w:val="111111"/>
        </w:rPr>
        <w:t vyd:_id="vyd:0000000000009r">положения</w:t>
      </w:r>
    </w:p>
    <w:p vyd:_id="vyd:0000000000009l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</w:pPr>
      <w:r>
        <w:t vyd:_id="vyd:0000000000009p">1.1. Настоящее Положение определяет цель, задачи, порядок и регла</w:t>
      </w:r>
      <w:r>
        <w:t vyd:_id="vyd:0000000000009o">ования Республики Татарстан» (далее – Институт) и журналом «</w:t>
      </w:r>
      <w:r>
        <w:t vyd:_id="vyd:0000000000009n">Магариф</w:t>
      </w:r>
      <w:r>
        <w:t vyd:_id="vyd:0000000000009m" xml:space="preserve">» в рамках празднования 80-летия Победы в Великой Отечественной войне. </w:t>
      </w:r>
    </w:p>
    <w:p vyd:_id="vyd:0000000000009j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</w:pPr>
      <w:r>
        <w:t vyd:_id="vyd:0000000000009k">1.3. Информация о Конкурсе размещается на официальном сайте Института</w:t>
      </w:r>
    </w:p>
    <w:p vyd:_id="vyd:0000000000009g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</w:pPr>
      <w:r>
        <w:drawing vyd:_id="vyd:0000000000009i">
          <wp:inline distT="0" distB="0" distL="0" distR="0">
            <wp:extent cx="1976571" cy="2517383"/>
            <wp:effectExtent l="6350" t="6350" r="6350" b="635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718088" name="Picture 1"/>
                    <pic:nvPr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 flipH="1" flipV="1" rot="10799956">
                      <a:off x="0" y="0"/>
                      <a:ext cx="1976571" cy="251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vyd:_id="vyd:0000000000009h" xml:space="preserve"> </w:t>
      </w:r>
    </w:p>
    <w:p vyd:_id="vyd:0000000000009d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0"/>
        <w:jc w:val="both"/>
      </w:pPr>
      <w:r>
        <w:t vyd:_id="vyd:0000000000009f">Шшш</w:t>
      </w:r>
      <w:r>
        <w:drawing vyd:_id="vyd:0000000000009e">
          <wp:inline distT="0" distB="0" distL="0" distR="0">
            <wp:extent cx="2576268" cy="3483769"/>
            <wp:effectExtent l="6350" t="6350" r="6350" b="6350"/>
            <wp:docPr id="2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7644179" name="Picture 1"/>
                    <pic:nvPr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 flipH="1" flipV="1" rot="10799952">
                      <a:off x="0" y="0"/>
                      <a:ext cx="2576268" cy="348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vyd:_id="vyd:0000000000009c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b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a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9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8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7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6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5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91">
      <w:pPr>
        <w:pStyle w:val="837"/>
        <w:shd w:val="clear" w:color="auto" w:fill="ffffff"/>
        <w:tabs>
          <w:tab w:val="left" w:pos="284" w:leader="none"/>
        </w:tabs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  <w:r>
        <w:rPr>
          <w:color w:val="111111"/>
          <w:b w:val="1"/>
          <w:bCs w:val="1"/>
        </w:rPr>
        <w:t vyd:_id="vyd:00000000000094" xml:space="preserve">2. Цель, задачи </w:t>
      </w:r>
      <w:r>
        <w:rPr>
          <w:color w:val="111111"/>
          <w:b w:val="1"/>
          <w:bCs w:val="1"/>
        </w:rPr>
        <w:t vyd:_id="vyd:00000000000093">К</w:t>
      </w:r>
      <w:r>
        <w:rPr>
          <w:color w:val="111111"/>
          <w:b w:val="1"/>
          <w:bCs w:val="1"/>
        </w:rPr>
        <w:t vyd:_id="vyd:00000000000092">онкурса</w:t>
      </w:r>
    </w:p>
    <w:p vyd:_id="vyd:0000000000008t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90" xml:space="preserve">2.1. Цель Конкурса – выявление и 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z">распространение современных педагогических практик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y" xml:space="preserve"> в сфере дошкольного образования 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x">по патриотическому воспитанию, сохранению памяти о защитниках Отечества и недопущени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w">е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v" xml:space="preserve"> умаления значения подвига народа при защите Отечества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8u">.</w:t>
      </w:r>
    </w:p>
    <w:p vyd:_id="vyd:0000000000008q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8s">2.2. Задачи Конкурса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8r">:</w:t>
      </w:r>
    </w:p>
    <w:p vyd:_id="vyd:0000000000008m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8p" xml:space="preserve"> – </w:t>
      </w:r>
      <w:r>
        <w:rPr>
          <w:rFonts w:ascii="Times New Roman" w:hAnsi="Times New Roman" w:cs="Times New Roman"/>
          <w:sz w:val="24"/>
          <w:szCs w:val="24"/>
        </w:rPr>
        <w:t vyd:_id="vyd:0000000000008o">развитие профессиональных компетенций педагогических</w:t>
      </w:r>
      <w:r>
        <w:t vyd:_id="vyd:0000000000008n">нии побе</w:t>
      </w:r>
    </w:p>
    <w:p vyd:_id="vyd:0000000000008j">
      <w:pPr>
        <w:shd w:val="clear" w:color="auto" w:fill="ffffff"/>
        <w:tabs>
          <w:tab w:val="left" w:pos="3461" w:leader="none"/>
        </w:tabs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t vyd:_id="vyd:0000000000008l">ди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ab vyd:_id="vyd:0000000000008k"/>
      </w:r>
    </w:p>
    <w:p vyd:_id="vyd:0000000000008h">
      <w:pPr>
        <w:pStyle w:val="834"/>
        <w:shd w:val="clear" w:color="auto" w:fill="ffffff"/>
        <w:spacing w:before="0" w:beforeAutospacing="0" w:after="0" w:afterAutospacing="0"/>
        <w:ind w:firstLine="567"/>
        <w:jc w:val="both"/>
      </w:pPr>
      <w:r>
        <w:t vyd:_id="vyd:0000000000008i">телей Конкурса.</w:t>
      </w:r>
    </w:p>
    <w:p vyd:_id="vyd:0000000000008f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  <w:r>
        <w:rPr>
          <w:color w:val="111111"/>
          <w:b w:val="1"/>
          <w:bCs w:val="1"/>
        </w:rPr>
        <w:t vyd:_id="vyd:0000000000008g">4. Порядок представления материалов и сроки проведения Конкурса</w:t>
      </w:r>
    </w:p>
    <w:p vyd:_id="vyd:00000000000088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>
        <w:rPr>
          <w:color w:val="111111"/>
        </w:rPr>
        <w:t vyd:_id="vyd:0000000000008e">4.1. Конкурс проводится в очно</w:t>
      </w:r>
      <w:r>
        <w:rPr>
          <w:color w:val="111111"/>
        </w:rPr>
        <w:t vyd:_id="vyd:0000000000008d" xml:space="preserve"> </w:t>
      </w:r>
      <w:r>
        <w:rPr>
          <w:color w:val="111111"/>
        </w:rPr>
        <w:t vyd:_id="vyd:0000000000008c">-</w:t>
      </w:r>
      <w:r>
        <w:rPr>
          <w:color w:val="111111"/>
        </w:rPr>
        <w:t vyd:_id="vyd:0000000000008b" xml:space="preserve"> </w:t>
      </w:r>
      <w:r>
        <w:rPr>
          <w:color w:val="111111"/>
        </w:rPr>
        <w:t vyd:_id="vyd:0000000000008a" xml:space="preserve"> заочной</w:t>
      </w:r>
      <w:r>
        <w:rPr>
          <w:color w:val="111111"/>
        </w:rPr>
        <w:t vyd:_id="vyd:00000000000089" xml:space="preserve"> форме.</w:t>
      </w:r>
    </w:p>
    <w:p vyd:_id="vyd:00000000000084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bCs w:val="1"/>
        </w:rPr>
      </w:pPr>
      <w:r>
        <w:rPr>
          <w:color w:val="111111"/>
        </w:rPr>
        <w:t vyd:_id="vyd:00000000000087">4.2.</w:t>
      </w:r>
      <w:r>
        <w:rPr>
          <w:color w:val="111111"/>
        </w:rPr>
        <w:t vyd:_id="vyd:00000000000086" xml:space="preserve"> </w:t>
      </w:r>
      <w:r>
        <w:rPr>
          <w:rFonts w:eastAsia="Calibri"/>
          <w:shd w:val="clear" w:color="auto" w:fill="ffffff"/>
          <w:lang w:val="tt-RU"/>
          <w:bCs w:val="1"/>
          <w:iCs w:val="1"/>
        </w:rPr>
        <w:t vyd:_id="vyd:00000000000085" xml:space="preserve">Конкурс проводится в три этапа: </w:t>
      </w:r>
    </w:p>
    <w:p vyd:_id="vyd:0000000000007y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83">I этап: с 1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82">9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81" xml:space="preserve"> мая по 30 мая  2025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80" xml:space="preserve">г.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z" xml:space="preserve">– прием конкурсных материалов (заочно); </w:t>
      </w:r>
    </w:p>
    <w:p vyd:_id="vyd:0000000000007q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x" xml:space="preserve">II этап: с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w" xml:space="preserve">09 июня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v" xml:space="preserve">   по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u">11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t" xml:space="preserve"> июня  2025 г. – экспертиза представленных материалов, определение десяти участников очного этапа</w:t>
      </w:r>
      <w:r>
        <w:rPr>
          <w:rFonts w:ascii="Times New Roman" w:hAnsi="Times New Roman" w:cs="Times New Roman"/>
          <w:sz w:val="24"/>
          <w:szCs w:val="24"/>
        </w:rPr>
        <w:t vyd:_id="vyd:0000000000007s" xml:space="preserve">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r" xml:space="preserve">по итогам экспертизы; </w:t>
      </w:r>
    </w:p>
    <w:p vyd:_id="vyd:0000000000007j"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hd w:val="clear" w:color="auto" w:fill="ffffff"/>
          <w:bCs w:val="1"/>
          <w:iCs w:val="1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p" xml:space="preserve">III этап: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o" xml:space="preserve">19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n">июня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7m" xml:space="preserve">  2025 г. – мастер-классы десяти победителей заочного этапа (очно);</w:t>
      </w:r>
      <w:r>
        <w:rPr>
          <w:rFonts w:ascii="Times New Roman" w:hAnsi="Times New Roman" w:cs="Times New Roman"/>
          <w:sz w:val="24"/>
          <w:szCs w:val="24"/>
        </w:rPr>
        <w:t vyd:_id="vyd:0000000000007l" xml:space="preserve"> </w:t>
      </w:r>
      <w:r>
        <w:rPr>
          <w:rFonts w:ascii="Times New Roman" w:hAnsi="Times New Roman" w:eastAsia="Calibri" w:cs="Times New Roman"/>
          <w:sz w:val="24"/>
          <w:shd w:val="clear" w:color="auto" w:fill="ffffff"/>
          <w:bCs w:val="1"/>
          <w:iCs w:val="1"/>
          <w:szCs w:val="24"/>
          <w14:ligatures w14:val="none"/>
        </w:rPr>
        <w:t vyd:_id="vyd:0000000000007k">подведение итогов Конкурса.</w:t>
      </w:r>
    </w:p>
    <w:p vyd:_id="vyd:0000000000007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color w:val="111111"/>
        </w:rPr>
        <w:t vyd:_id="vyd:0000000000007i" xml:space="preserve">4.2. Для участия в Конкурсе необходимо оплатить организационный взнос в размере 600 (шестьсот) рублей. Организационный сбор взимается за каждую представленную на </w:t>
      </w:r>
      <w:r>
        <w:rPr>
          <w:color w:val="111111"/>
        </w:rPr>
        <w:t vyd:_id="vyd:0000000000007h">К</w:t>
      </w:r>
      <w:r>
        <w:rPr>
          <w:color w:val="111111"/>
        </w:rPr>
        <w:t vyd:_id="vyd:0000000000007g">онкурс работу.</w:t>
      </w:r>
    </w:p>
    <w:p vyd:_id="vyd:0000000000006x">
      <w:pPr>
        <w:keepLines w:val="1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lang w:val="tt-RU"/>
          <w:szCs w:val="24"/>
          <w14:ligatures w14:val="none"/>
        </w:rPr>
        <w:t vyd:_id="vyd:0000000000007e" xml:space="preserve">4.3.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7d" xml:space="preserve">Участники регистрируются по ссылке </w:t>
      </w:r>
      <w:r>
        <w:rPr>
          <w:rFonts w:ascii="Times New Roman" w:hAnsi="Times New Roman" w:cs="Times New Roman"/>
          <w:sz w:val="24"/>
          <w:lang w:val="tt-RU"/>
          <w:szCs w:val="24"/>
        </w:rPr>
        <w:t vyd:_id="vyd:0000000000007c" xml:space="preserve">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b" xml:space="preserve">и размещают конкурсные материалы в электронном формате в соответствии с настоящим Положением. При регистрации участники прикрепляют ссылку на квитанцию оплаты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a">участия  (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9" xml:space="preserve">приложение 2), ссылку на конкурсный материал (ссылка должна быть доступна),  также ссылку на копию квитанции, подтверждающую подписку участника на журнал </w:t>
      </w:r>
      <w:bookmarkStart w:id="2" w:name="_Hlk198285224" vyd:_id="vyd:00000000000078"/>
      <w:bookmarkEnd w:id="2"/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7">«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6">Магариф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5" xml:space="preserve">»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4">или «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3">Гаилә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2" xml:space="preserve">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1">һәм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70" xml:space="preserve">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z">мәктәп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y">».</w:t>
      </w:r>
    </w:p>
    <w:p vyd:_id="vyd:0000000000006n">
      <w:pPr>
        <w:spacing w:after="0" w:line="240" w:lineRule="auto"/>
        <w:ind w:firstLine="567"/>
        <w:jc w:val="both"/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6w">4.</w:t>
      </w:r>
      <w:r>
        <w:rPr>
          <w:rFonts w:ascii="Times New Roman" w:hAnsi="Times New Roman" w:eastAsia="Times New Roman" w:cs="Times New Roman"/>
          <w:sz w:val="24"/>
          <w:lang w:val="tt-RU"/>
          <w:szCs w:val="24"/>
          <w14:ligatures w14:val="none"/>
        </w:rPr>
        <w:t vyd:_id="vyd:0000000000006v">4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6u" xml:space="preserve">. 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6t" xml:space="preserve">Результаты Конкурса будут размещены на официальном сайте Института и журнала 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s">«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r">Магариф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q">»</w:t>
      </w:r>
      <w:r>
        <w:rPr>
          <w:rFonts w:ascii="Times New Roman" w:hAnsi="Times New Roman" w:cs="Times New Roman"/>
          <w:sz w:val="24"/>
          <w:szCs w:val="24"/>
          <w14:ligatures w14:val="none"/>
        </w:rPr>
        <w:t vyd:_id="vyd:0000000000006p">.</w:t>
      </w:r>
      <w:r>
        <w:rPr>
          <w:rFonts w:ascii="Times New Roman" w:hAnsi="Times New Roman" w:eastAsia="Calibri" w:cs="Times New Roman"/>
          <w:sz w:val="24"/>
          <w:shd w:val="clear" w:color="auto" w:fill="ffffff"/>
          <w:lang w:val="tt-RU"/>
          <w:bCs w:val="1"/>
          <w:iCs w:val="1"/>
          <w:szCs w:val="24"/>
          <w14:ligatures w14:val="none"/>
        </w:rPr>
        <w:t vyd:_id="vyd:0000000000006o" xml:space="preserve"> </w:t>
      </w:r>
    </w:p>
    <w:p vyd:_id="vyd:0000000000006l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b w:val="1"/>
          <w:bCs w:val="1"/>
        </w:rPr>
      </w:pPr>
      <w:r>
        <w:rPr>
          <w:b w:val="1"/>
          <w:bCs w:val="1"/>
        </w:rPr>
        <w:t vyd:_id="vyd:0000000000006m">5. Требования к оформлению конкурсных материалов</w:t>
      </w:r>
    </w:p>
    <w:p vyd:_id="vyd:0000000000006j">
      <w:pPr>
        <w:pStyle w:val="839"/>
        <w:ind w:firstLine="360"/>
        <w:jc w:val="both"/>
        <w:rPr>
          <w:shd w:val="clear" w:fill="#ffff00"/>
        </w:rPr>
      </w:pPr>
      <w:r>
        <w:t vyd:_id="vyd:0000000000006k">5.1. На Конкурс представляется авторская работа. Необходимо соблюдение законодательства об авторском праве (наличие ссылок на авторов (источники) использованных цитат, фото- и видеоизображений, списка использованных источников и литературы).</w:t>
      </w:r>
    </w:p>
    <w:p vyd:_id="vyd:0000000000005w">
      <w:pPr>
        <w:widowControl w:val="0"/>
        <w:spacing w:after="0" w:line="240" w:lineRule="auto"/>
        <w:ind w:firstLine="360"/>
        <w:jc w:val="both"/>
        <w:rPr>
          <w:rFonts w:ascii="Times New Roman" w:hAnsi="Times New Roman" w:eastAsia="Calibri" w:cs="Times New Roman"/>
          <w:sz w:val="24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i">5.2. Педагогическая</w:t>
      </w:r>
      <w:r>
        <w:rPr>
          <w:rFonts w:ascii="Times New Roman" w:hAnsi="Times New Roman" w:eastAsia="Calibri" w:cs="Times New Roman"/>
          <w:sz w:val="24"/>
          <w:spacing w:val="1"/>
          <w:szCs w:val="24"/>
          <w14:ligatures w14:val="none"/>
        </w:rPr>
        <w:t vyd:_id="vyd:0000000000006h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g">практика</w:t>
      </w:r>
      <w:r>
        <w:rPr>
          <w:rFonts w:ascii="Times New Roman" w:hAnsi="Times New Roman" w:eastAsia="Calibri" w:cs="Times New Roman"/>
          <w:sz w:val="24"/>
          <w:spacing w:val="1"/>
          <w:szCs w:val="24"/>
          <w14:ligatures w14:val="none"/>
        </w:rPr>
        <w:t vyd:_id="vyd:0000000000006f" xml:space="preserve"> не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e">должна</w:t>
      </w:r>
      <w:r>
        <w:rPr>
          <w:rFonts w:ascii="Times New Roman" w:hAnsi="Times New Roman" w:eastAsia="Calibri" w:cs="Times New Roman"/>
          <w:sz w:val="24"/>
          <w:spacing w:val="1"/>
          <w:szCs w:val="24"/>
          <w14:ligatures w14:val="none"/>
        </w:rPr>
        <w:t vyd:_id="vyd:0000000000006d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c">противоречить</w:t>
      </w:r>
      <w:r>
        <w:rPr>
          <w:rFonts w:ascii="Times New Roman" w:hAnsi="Times New Roman" w:eastAsia="Calibri" w:cs="Times New Roman"/>
          <w:sz w:val="24"/>
          <w:spacing w:val="1"/>
          <w:szCs w:val="24"/>
          <w14:ligatures w14:val="none"/>
        </w:rPr>
        <w:t vyd:_id="vyd:0000000000006b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a">общепризнанным</w:t>
      </w:r>
      <w:r>
        <w:rPr>
          <w:rFonts w:ascii="Times New Roman" w:hAnsi="Times New Roman" w:eastAsia="Calibri" w:cs="Times New Roman"/>
          <w:sz w:val="24"/>
          <w:spacing w:val="-3"/>
          <w:szCs w:val="24"/>
          <w14:ligatures w14:val="none"/>
        </w:rPr>
        <w:t vyd:_id="vyd:00000000000069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8">этическим</w:t>
      </w:r>
      <w:r>
        <w:rPr>
          <w:rFonts w:ascii="Times New Roman" w:hAnsi="Times New Roman" w:eastAsia="Calibri" w:cs="Times New Roman"/>
          <w:sz w:val="24"/>
          <w:spacing w:val="-2"/>
          <w:szCs w:val="24"/>
          <w14:ligatures w14:val="none"/>
        </w:rPr>
        <w:t vyd:_id="vyd:00000000000067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6">нормам</w:t>
      </w:r>
      <w:r>
        <w:rPr>
          <w:rFonts w:ascii="Times New Roman" w:hAnsi="Times New Roman" w:eastAsia="Calibri" w:cs="Times New Roman"/>
          <w:sz w:val="24"/>
          <w:spacing w:val="-2"/>
          <w:szCs w:val="24"/>
          <w14:ligatures w14:val="none"/>
        </w:rPr>
        <w:t vyd:_id="vyd:00000000000065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4">и</w:t>
      </w:r>
      <w:r>
        <w:rPr>
          <w:rFonts w:ascii="Times New Roman" w:hAnsi="Times New Roman" w:eastAsia="Calibri" w:cs="Times New Roman"/>
          <w:sz w:val="24"/>
          <w:spacing w:val="-1"/>
          <w:szCs w:val="24"/>
          <w14:ligatures w14:val="none"/>
        </w:rPr>
        <w:t vyd:_id="vyd:00000000000063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2">законодательству</w:t>
      </w:r>
      <w:r>
        <w:rPr>
          <w:rFonts w:ascii="Times New Roman" w:hAnsi="Times New Roman" w:eastAsia="Calibri" w:cs="Times New Roman"/>
          <w:sz w:val="24"/>
          <w:spacing w:val="-6"/>
          <w:szCs w:val="24"/>
          <w14:ligatures w14:val="none"/>
        </w:rPr>
        <w:t vyd:_id="vyd:00000000000061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60">Российской</w:t>
      </w:r>
      <w:r>
        <w:rPr>
          <w:rFonts w:ascii="Times New Roman" w:hAnsi="Times New Roman" w:eastAsia="Calibri" w:cs="Times New Roman"/>
          <w:sz w:val="24"/>
          <w:spacing w:val="-3"/>
          <w:szCs w:val="24"/>
          <w14:ligatures w14:val="none"/>
        </w:rPr>
        <w:t vyd:_id="vyd:0000000000005z" xml:space="preserve">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y">Федерации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x">, а также требованиям ФГОС ДО и ФОП ДО.</w:t>
      </w:r>
    </w:p>
    <w:p vyd:_id="vyd:0000000000005u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v">5.3. Конкурсные работы могут представляться на русском или татарском языках.</w:t>
      </w:r>
    </w:p>
    <w:p vyd:_id="vyd:00000000000056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t">5.4. Формат документа *.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s">doc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r" xml:space="preserve"> (А4), шрифт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q">Times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p"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o">New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n"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m">Roman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l" xml:space="preserve">, кегль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k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j" xml:space="preserve"> 14, межстрочный интервал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i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h" xml:space="preserve"> одинарный. Все поля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g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f"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e">2 см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d" xml:space="preserve">, абзацные отступы (красная строка)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c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b" xml:space="preserve">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a">1,25 см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9" xml:space="preserve">. Выравнивание текста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8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7" xml:space="preserve"> по ширине. </w:t>
      </w:r>
    </w:p>
    <w:p vyd:_id="vyd:00000000000054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5">5.5. Примерная структура конкурсных работ:</w:t>
      </w:r>
    </w:p>
    <w:p vyd:_id="vyd:0000000000004r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3">–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52" xml:space="preserve"> о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51" xml:space="preserve">бщий объем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50" xml:space="preserve">–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z">не более 5 листов (без приложений); объем приложений (при наличии)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y">: д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x" xml:space="preserve">лительность видеоматериала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4w">–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v" xml:space="preserve"> не более 3 мин; фотоотчет </w:t>
      </w: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4u" xml:space="preserve">–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t">не более 5 фотографий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s">;</w:t>
      </w:r>
    </w:p>
    <w:p vyd:_id="vyd:0000000000004m">
      <w:pPr>
        <w:widowControl w:val="0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4q">–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4p" xml:space="preserve"> т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o">итульный лист (полное наименование образовательной организации в соответствии с Уставом, название Конкурса, номинация, тема работы, фамилия, имя, отчество, должность автора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n">);</w:t>
      </w:r>
    </w:p>
    <w:p vyd:_id="vyd:0000000000004j">
      <w:pPr>
        <w:widowControl w:val="0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4l" xml:space="preserve">–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4k">цель, краткое описание игры или паспорт игры;</w:t>
      </w:r>
    </w:p>
    <w:p vyd:_id="vyd:0000000000004g">
      <w:pPr>
        <w:widowControl w:val="0"/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Calibri" w:cs="Times New Roman"/>
          <w:sz w:val="24"/>
          <w:szCs w:val="24"/>
          <w14:ligatures w14:val="none"/>
        </w:rPr>
        <w:t vyd:_id="vyd:0000000000004i" xml:space="preserve">– 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h">дополнительные материалы при наличии (возможны ссылки).</w:t>
      </w:r>
    </w:p>
    <w:p vyd:_id="vyd:0000000000004e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b w:val="1"/>
          <w:bCs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  <w14:ligatures w14:val="none"/>
        </w:rPr>
        <w:t vyd:_id="vyd:0000000000004f">6. Порядок и регламент оценки конкурсных работ</w:t>
      </w:r>
    </w:p>
    <w:p vyd:_id="vyd:0000000000004c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d">6.1. Для организации, проведения Конкурса, оценивания конкурсных работ и подведения итогов создаются оргкомитет и жюри.</w:t>
      </w:r>
    </w:p>
    <w:p vyd:_id="vyd:0000000000004a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b">6.2. Присланные на Конкурс работы не возвращаются, рецензии авторам не выдаются, апелляции не принимаются. Во время проведения Конкурса замена работ, приложений к ним не производится.  Решение жюри является окончательным и пересмотру не подлежит.</w:t>
      </w:r>
    </w:p>
    <w:p vyd:_id="vyd:00000000000048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9" xml:space="preserve">6.3. Не принимаются материалы, которые были опубликованы ранее или участвовали в других конкурсах и заняли призовые места. </w:t>
      </w:r>
    </w:p>
    <w:p vyd:_id="vyd:00000000000045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7" xml:space="preserve">6.4. Материалы проверяются на плагиат (заимствование) и аннулируются, если не подтверждают авторство (степень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46">оригинальности должна быть не менее 50%).</w:t>
      </w:r>
    </w:p>
    <w:p vyd:_id="vyd:00000000000043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44">6.5. Конкурсные материалы оцениваются по балльной системе на основе следующих показателей:</w:t>
      </w:r>
    </w:p>
    <w:p vyd:_id="vyd:00000000000042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</w:p>
    <w:p vyd:_id="vyd:00000000000041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</w:p>
    <w:p vyd:_id="vyd:0000000000003z">
      <w:pPr>
        <w:tabs>
          <w:tab w:val="left" w:pos="4420" w:leader="none"/>
        </w:tabs>
        <w:spacing w:after="0" w:line="240" w:lineRule="auto"/>
        <w:ind w:firstLine="360"/>
        <w:jc w:val="start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ab vyd:_id="vyd:00000000000040"/>
      </w:r>
    </w:p>
    <w:tbl vyd:_id="vyd:0000000000001y">
      <w:tblPr>
        <w:tblpPr w:horzAnchor="margin" w:tblpX="108" w:vertAnchor="text" w:tblpY="182" w:leftFromText="180" w:topFromText="0" w:rightFromText="180" w:bottomFromText="0"/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7f5"/>
      </w:tblPr>
      <w:tblGrid>
        <w:gridCol w:w="8217"/>
        <w:gridCol w:w="1559"/>
      </w:tblGrid>
      <w:tr vyd:_id="vyd:0000000000003r">
        <w:tblPrEx/>
        <w:trPr/>
        <w:tc vyd:_id="vyd:0000000000003v">
          <w:tcPr>
            <w:noWrap w:val="0"/>
            <w:textDirection w:val="lrTb"/>
          </w:tcPr>
          <w:p vyd:_id="vyd:0000000000003w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3y">Критерии оценки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x" xml:space="preserve"> </w:t>
            </w:r>
          </w:p>
        </w:tc>
        <w:tc vyd:_id="vyd:0000000000003s">
          <w:tcPr>
            <w:noWrap w:val="0"/>
            <w:textDirection w:val="lrTb"/>
          </w:tcPr>
          <w:p vyd:_id="vyd:0000000000003t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3u">Оценка</w:t>
            </w:r>
          </w:p>
        </w:tc>
      </w:tr>
      <w:tr vyd:_id="vyd:0000000000003k">
        <w:tblPrEx/>
        <w:trPr/>
        <w:tc vyd:_id="vyd:0000000000003o">
          <w:tcPr>
            <w:noWrap w:val="0"/>
            <w:textDirection w:val="lrTb"/>
          </w:tcPr>
          <w:p vyd:_id="vyd:0000000000003p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q" xml:space="preserve">Соответствие темы, содержания разработки цели, задачам конкурса </w:t>
            </w:r>
          </w:p>
        </w:tc>
        <w:tc vyd:_id="vyd:0000000000003l">
          <w:tcPr>
            <w:noWrap w:val="0"/>
            <w:textDirection w:val="lrTb"/>
          </w:tcPr>
          <w:p vyd:_id="vyd:0000000000003m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n">0 – 5</w:t>
            </w:r>
          </w:p>
        </w:tc>
      </w:tr>
      <w:tr vyd:_id="vyd:0000000000003d">
        <w:tblPrEx/>
        <w:trPr/>
        <w:tc vyd:_id="vyd:0000000000003h">
          <w:tcPr>
            <w:noWrap w:val="0"/>
            <w:textDirection w:val="lrTb"/>
          </w:tcPr>
          <w:p vyd:_id="vyd:0000000000003i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j">Новизна идеи и содержания</w:t>
            </w:r>
          </w:p>
        </w:tc>
        <w:tc vyd:_id="vyd:0000000000003e">
          <w:tcPr>
            <w:noWrap w:val="0"/>
            <w:textDirection w:val="lrTb"/>
          </w:tcPr>
          <w:p vyd:_id="vyd:0000000000003f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g">0 – 5</w:t>
            </w:r>
          </w:p>
        </w:tc>
      </w:tr>
      <w:tr vyd:_id="vyd:00000000000031">
        <w:tblPrEx/>
        <w:trPr/>
        <w:tc vyd:_id="vyd:00000000000035">
          <w:tcPr>
            <w:noWrap w:val="0"/>
            <w:textDirection w:val="lrTb"/>
          </w:tcPr>
          <w:p vyd:_id="vyd:00000000000036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c" xml:space="preserve">Оригинальный,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b">тв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a" xml:space="preserve">ж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9">эх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8">орческий  подход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7" xml:space="preserve">  </w:t>
            </w:r>
          </w:p>
        </w:tc>
        <w:tc vyd:_id="vyd:00000000000032">
          <w:tcPr>
            <w:noWrap w:val="0"/>
            <w:textDirection w:val="lrTb"/>
          </w:tcPr>
          <w:p vyd:_id="vyd:00000000000033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34">0 – 5</w:t>
            </w:r>
          </w:p>
        </w:tc>
      </w:tr>
      <w:tr vyd:_id="vyd:0000000000002s">
        <w:tblPrEx/>
        <w:trPr/>
        <w:tc vyd:_id="vyd:0000000000002w">
          <w:tcPr>
            <w:noWrap w:val="0"/>
            <w:textDirection w:val="lrTb"/>
          </w:tcPr>
          <w:p vyd:_id="vyd:0000000000002x">
            <w:pPr>
              <w:shd w:val="clear" w:color="auto" w:fill="ffffff"/>
              <w:spacing w:after="0" w:line="240" w:lineRule="auto"/>
              <w:ind w:firstLine="171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vyd:_id="vyd:00000000000030" xml:space="preserve">Соответствие содержания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vyd:_id="vyd:0000000000002z">игры  возрастным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vyd:_id="vyd:0000000000002y" xml:space="preserve"> особенностям</w:t>
            </w:r>
          </w:p>
        </w:tc>
        <w:tc vyd:_id="vyd:0000000000002t">
          <w:tcPr>
            <w:noWrap w:val="0"/>
            <w:textDirection w:val="lrTb"/>
          </w:tcPr>
          <w:p vyd:_id="vyd:0000000000002u">
            <w:pPr>
              <w:spacing w:after="0" w:line="240" w:lineRule="auto"/>
              <w:ind w:firstLine="171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vyd:_id="vyd:0000000000002v">0 – 5</w:t>
            </w:r>
          </w:p>
        </w:tc>
      </w:tr>
      <w:tr vyd:_id="vyd:0000000000002l">
        <w:tblPrEx/>
        <w:trPr/>
        <w:tc vyd:_id="vyd:0000000000002p">
          <w:tcPr>
            <w:tcBorders>
              <w:top w:val="single" w:color="auto" w:sz="4" w:space="0"/>
            </w:tcBorders>
            <w:noWrap w:val="0"/>
            <w:textDirection w:val="lrTb"/>
          </w:tcPr>
          <w:p vyd:_id="vyd:0000000000002q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bCs w:val="1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  <w14:ligatures w14:val="none"/>
              </w:rPr>
              <w:t vyd:_id="vyd:0000000000002r">Практическая ценность и возможность тиражирования</w:t>
            </w:r>
          </w:p>
        </w:tc>
        <w:tc vyd:_id="vyd:0000000000002m">
          <w:tcPr>
            <w:noWrap w:val="0"/>
            <w:textDirection w:val="lrTb"/>
          </w:tcPr>
          <w:p vyd:_id="vyd:0000000000002n">
            <w:pPr>
              <w:spacing w:after="0" w:line="240" w:lineRule="auto"/>
              <w:ind w:firstLine="171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vyd:_id="vyd:0000000000002o">0 – 5</w:t>
            </w:r>
          </w:p>
        </w:tc>
      </w:tr>
      <w:tr vyd:_id="vyd:0000000000002e">
        <w:tblPrEx/>
        <w:trPr>
          <w:trHeight w:val="312"/>
        </w:trPr>
        <w:tc vyd:_id="vyd:0000000000002i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j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k">Структурированность, логичность работы, соответствие литературным языковым нормам, соблюдение требований оформления</w:t>
            </w:r>
          </w:p>
        </w:tc>
        <w:tc vyd:_id="vyd:0000000000002f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g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h">0 – 5</w:t>
            </w:r>
          </w:p>
        </w:tc>
      </w:tr>
      <w:tr vyd:_id="vyd:00000000000026">
        <w:tblPrEx/>
        <w:trPr>
          <w:trHeight w:val="312"/>
        </w:trPr>
        <w:tc vyd:_id="vyd:0000000000002a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b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d" xml:space="preserve">Особое мнение эксперта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c">нет.</w:t>
            </w:r>
          </w:p>
        </w:tc>
        <w:tc vyd:_id="vyd:00000000000027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8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9">0 – 5</w:t>
            </w:r>
          </w:p>
        </w:tc>
      </w:tr>
      <w:tr vyd:_id="vyd:0000000000001z">
        <w:tblPrEx/>
        <w:trPr>
          <w:trHeight w:val="312"/>
        </w:trPr>
        <w:tc vyd:_id="vyd:00000000000023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4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none"/>
              </w:rPr>
              <w:t vyd:_id="vyd:00000000000025">Максимальное количество баллов</w:t>
            </w:r>
          </w:p>
        </w:tc>
        <w:tc vyd:_id="vyd:00000000000020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21">
            <w:pPr>
              <w:spacing w:after="0" w:line="240" w:lineRule="auto"/>
              <w:ind w:firstLine="171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  <w14:ligatures w14:val="none"/>
              </w:rPr>
              <w:t vyd:_id="vyd:00000000000022">35</w:t>
            </w:r>
          </w:p>
        </w:tc>
      </w:tr>
    </w:tbl>
    <w:p vyd:_id="vyd:0000000000001u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>
        <w:rPr>
          <w:color w:val="111111"/>
        </w:rPr>
        <w:t vyd:_id="vyd:0000000000001x" xml:space="preserve">6.6. Каждый критерий оценивается по 5-балльной системе Баллы начисляются по каждому критерию, суммируются. Максимальное количество баллов, которое может набрать участник – 35.  По итогам каждого из </w:t>
      </w:r>
      <w:r>
        <w:rPr>
          <w:color w:val="111111"/>
        </w:rPr>
        <w:t vyd:_id="vyd:0000000000001w">этапов  оформляется</w:t>
      </w:r>
      <w:r>
        <w:rPr>
          <w:color w:val="111111"/>
        </w:rPr>
        <w:t vyd:_id="vyd:0000000000001v" xml:space="preserve"> протокол, в котором участники Конкурса располагаются в рейтинге по суммарному показателю баллов в порядке убывания в каждой номинации.</w:t>
      </w:r>
    </w:p>
    <w:p vyd:_id="vyd:0000000000001r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  <w:r>
        <w:rPr>
          <w:color w:val="111111"/>
          <w:b w:val="1"/>
          <w:bCs w:val="1"/>
        </w:rPr>
        <w:t vyd:_id="vyd:0000000000001t" xml:space="preserve">7. </w:t>
      </w:r>
      <w:r>
        <w:rPr>
          <w:color w:val="111111"/>
          <w:b w:val="1"/>
          <w:bCs w:val="1"/>
        </w:rPr>
        <w:t vyd:_id="vyd:0000000000001s">Подведение итогов и награждение</w:t>
      </w:r>
    </w:p>
    <w:p vyd:_id="vyd:0000000000001n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>
        <w:rPr>
          <w:color w:val="111111"/>
        </w:rPr>
        <w:t vyd:_id="vyd:0000000000001q" xml:space="preserve">7.1. По итогам проведения заочного </w:t>
      </w:r>
      <w:r>
        <w:rPr>
          <w:color w:val="111111"/>
        </w:rPr>
        <w:t vyd:_id="vyd:0000000000001p">этапа  определяются</w:t>
      </w:r>
      <w:r>
        <w:rPr>
          <w:color w:val="111111"/>
        </w:rPr>
        <w:t vyd:_id="vyd:0000000000001o" xml:space="preserve"> десять победителей, набравших наибольшее количество баллов.  По итогам проведения очного этапа определяются победители (I, II, III место). При равенстве набранных баллов определяется несколько победителей.</w:t>
      </w:r>
    </w:p>
    <w:p vyd:_id="vyd:0000000000001i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>
        <w:rPr>
          <w:color w:val="111111"/>
        </w:rPr>
        <w:t vyd:_id="vyd:0000000000001m">7.2. Итоги Конкурса подводятся по его окончани</w:t>
      </w:r>
      <w:r>
        <w:rPr>
          <w:color w:val="111111"/>
        </w:rPr>
        <w:t vyd:_id="vyd:0000000000001l">и</w:t>
      </w:r>
      <w:r>
        <w:rPr>
          <w:color w:val="111111"/>
        </w:rPr>
        <w:t vyd:_id="vyd:0000000000001k" xml:space="preserve"> (в день проведения очного этапа).</w:t>
      </w:r>
      <w:r>
        <w:rPr>
          <w:color w:val="111111"/>
        </w:rPr>
        <w:t vyd:_id="vyd:0000000000001j" xml:space="preserve"> Место проведения будет сообщено дополнительно.</w:t>
      </w:r>
    </w:p>
    <w:p vyd:_id="vyd:0000000000001g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h">7.3. Жюри имеет право отметить оригинальные работы, заслуживающие особого внимания. В случае учреждения дополнительных номинаций победители награждаются дипломами.</w:t>
      </w:r>
    </w:p>
    <w:p vyd:_id="vyd:0000000000001a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f">7.4. Лучшие работы могут быть рекомендованы к публикации в периодических изданиях Института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e">, в журнале «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d">Магариф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c">»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1b">.</w:t>
      </w:r>
    </w:p>
    <w:p vyd:_id="vyd:00000000000011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9">7.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8">5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7" xml:space="preserve">. 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6">С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5" xml:space="preserve">ертификаты 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4" xml:space="preserve"> участников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3" xml:space="preserve"> </w:t>
      </w:r>
      <w:r>
        <w:rPr>
          <w:rFonts w:ascii="Times New Roman" w:hAnsi="Times New Roman" w:eastAsia="Times New Roman" w:cs="Times New Roman"/>
          <w:sz w:val="24"/>
          <w:bCs w:val="1"/>
          <w:szCs w:val="24"/>
          <w14:ligatures w14:val="none"/>
        </w:rPr>
        <w:t vyd:_id="vyd:00000000000012" xml:space="preserve">предоставляются в электронном виде в PDF-формате (сертификаты и дипломы оформляются по данным полученных заявок, замене не подлежат). </w:t>
      </w:r>
    </w:p>
    <w:p vyd:_id="vyd:0000000000000z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b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  <w14:ligatures w14:val="none"/>
        </w:rPr>
        <w:t vyd:_id="vyd:00000000000010">8. Особые условия</w:t>
      </w:r>
    </w:p>
    <w:p vyd:_id="vyd:0000000000000x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y">8.1. Факт подачи материалов на участие в конкурсном отборе означает согласие участника:</w:t>
      </w:r>
    </w:p>
    <w:p vyd:_id="vyd:0000000000000v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w" xml:space="preserve">– с настоящим Положением; </w:t>
      </w:r>
    </w:p>
    <w:p vyd:_id="vyd:0000000000000o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u">– на передачу исключительных прав на конкурсные материалы ГАОУ ДПО ИРО РТ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t" xml:space="preserve"> и редакции журнала «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s">Магариф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r">»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q">, включая прав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p">о на их обнародование, размещение в средствах массовой информации (Интернет, печатные издания, радио, телевидение, сайт и др.), использование в просветительских и образовательных целях без дополнительного разрешения и без выплаты авторского вознаграждения;</w:t>
      </w:r>
    </w:p>
    <w:p vyd:_id="vyd:0000000000000m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n">– на обработку персональных данных в соответствии с политикой в отношении обработки персональных данных в ГАОУ ДПО ИРО РТ.</w:t>
      </w:r>
    </w:p>
    <w:p vyd:_id="vyd:0000000000000k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  <w:t vyd:_id="vyd:0000000000000l">8.2. В случае непредвиденных обстоятельств Институт имеет право вносить дополнения или коррективы в настоящее Положение.</w:t>
      </w:r>
    </w:p>
    <w:p vyd:_id="vyd:0000000000000i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b w:val="1"/>
          <w:bCs w:val="1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  <w14:ligatures w14:val="none"/>
        </w:rPr>
        <w:t vyd:_id="vyd:0000000000000j">9. Оплата услуги</w:t>
      </w:r>
    </w:p>
    <w:p vyd:_id="vyd:00000000000005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lang w:val="tt-RU"/>
          <w:szCs w:val="24"/>
          <w14:ligatures w14:val="none"/>
        </w:rPr>
        <w:t vyd:_id="vyd:0000000000000h" xml:space="preserve">В любом онлайн-банке открыть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g" xml:space="preserve">QR-код, из двух квитанций необходимо открыть квитанцию </w:t>
      </w:r>
      <w:r>
        <w:rPr>
          <w:rFonts w:ascii="Times New Roman" w:hAnsi="Times New Roman" w:eastAsia="Times New Roman" w:cs="Times New Roman"/>
          <w:sz w:val="24"/>
          <w:b w:val="1"/>
          <w:shd w:val="clear" w:color="auto" w:fill="ffffff"/>
          <w:bCs w:val="1"/>
          <w:szCs w:val="24"/>
          <w14:ligatures w14:val="none"/>
        </w:rPr>
        <w:t vyd:_id="vyd:0000000000000f">Д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e" xml:space="preserve">: </w:t>
      </w:r>
      <w:r>
        <w:rPr>
          <w:rFonts w:ascii="Times New Roman" w:hAnsi="Times New Roman" w:eastAsia="Times New Roman" w:cs="Times New Roman"/>
          <w:sz w:val="24"/>
          <w:b w:val="1"/>
          <w:shd w:val="clear" w:color="auto" w:fill="ffffff"/>
          <w:bCs w:val="1"/>
          <w:szCs w:val="24"/>
          <w14:ligatures w14:val="none"/>
        </w:rPr>
        <w:t vyd:_id="vyd:0000000000000d" xml:space="preserve">ДК МФ РТ «ГАОУ ДПО ИРО РТ»,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c" xml:space="preserve">заполнить поля (период: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b">май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a" xml:space="preserve">; вид услуги: конкурс, ФИО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9">участника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8" xml:space="preserve">, сумма: 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7">600</w:t>
      </w:r>
      <w:r>
        <w:rPr>
          <w:rFonts w:ascii="Times New Roman" w:hAnsi="Times New Roman" w:eastAsia="Times New Roman" w:cs="Times New Roman"/>
          <w:sz w:val="24"/>
          <w:shd w:val="clear" w:color="auto" w:fill="ffffff"/>
          <w:szCs w:val="24"/>
          <w14:ligatures w14:val="none"/>
        </w:rPr>
        <w:t vyd:_id="vyd:00000000000006" xml:space="preserve"> - Каоплатить).</w:t>
      </w:r>
    </w:p>
    <w:p vyd:_id="vyd:00000000000004">
      <w:pPr>
        <w:pStyle w:val="834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b w:val="1"/>
          <w:bCs w:val="1"/>
        </w:rPr>
      </w:pPr>
    </w:p>
    <w:p vyd:_id="vyd:00000000000003"/>
    <w:sectPr vyd:_id="vyd:00000000000002">
      <w:footnotePr/>
      <w:endnotePr/>
      <w:type w:val="nextPage"/>
      <w:pgSz w:w="11906" w:h="16838" w:orient="portrait"/>
      <w:pgMar w:top="1134" w:right="850" w:bottom="1134" w:left="1701" w:header="708" w:footer="708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displayBackgroundShape w:val="1"/>
  <w:trackRevisions w:val="0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before="0" w:beforeAutospacing="0" w:after="160" w:afterAutospacing="0" w:line="259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662">
    <w:name w:val="Heading 5"/>
    <w:basedOn w:val="830"/>
    <w:next w:val="830"/>
    <w:link w:val="663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664">
    <w:name w:val="Heading 6"/>
    <w:basedOn w:val="830"/>
    <w:next w:val="830"/>
    <w:link w:val="665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66">
    <w:name w:val="Heading 7"/>
    <w:basedOn w:val="830"/>
    <w:next w:val="830"/>
    <w:link w:val="667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668">
    <w:name w:val="Heading 8"/>
    <w:basedOn w:val="830"/>
    <w:next w:val="830"/>
    <w:link w:val="669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670">
    <w:name w:val="Heading 9"/>
    <w:basedOn w:val="830"/>
    <w:next w:val="830"/>
    <w:link w:val="671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672">
    <w:name w:val="List Paragraph"/>
    <w:basedOn w:val="830"/>
    <w:uiPriority w:val="34"/>
    <w:qFormat w:val="1"/>
    <w:pPr>
      <w:ind w:start="720"/>
      <w:contextualSpacing w:val="1"/>
    </w:pPr>
  </w:style>
  <w:style w:type="paragraph" w:styleId="673">
    <w:name w:val="No Spacing"/>
    <w:uiPriority w:val="1"/>
    <w:qFormat w:val="1"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 w:val="1"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 w:val="1"/>
    <w:pPr>
      <w:ind w:start="720" w:end="720"/>
    </w:pPr>
    <w:rPr>
      <w:i w:val="1"/>
    </w:rPr>
  </w:style>
  <w:style w:type="character" w:styleId="679">
    <w:name w:val="Quote Char"/>
    <w:link w:val="678"/>
    <w:uiPriority w:val="29"/>
    <w:rPr>
      <w:i w:val="1"/>
    </w:rPr>
  </w:style>
  <w:style w:type="paragraph" w:styleId="680">
    <w:name w:val="Intense Quote"/>
    <w:basedOn w:val="830"/>
    <w:next w:val="830"/>
    <w:link w:val="68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681">
    <w:name w:val="Intense Quote Char"/>
    <w:link w:val="680"/>
    <w:uiPriority w:val="30"/>
    <w:rPr>
      <w:i w:val="1"/>
    </w:rPr>
  </w:style>
  <w:style w:type="paragraph" w:styleId="682">
    <w:name w:val="Header"/>
    <w:basedOn w:val="830"/>
    <w:link w:val="683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1"/>
    <w:link w:val="682"/>
    <w:uiPriority w:val="99"/>
  </w:style>
  <w:style w:type="paragraph" w:styleId="684">
    <w:name w:val="Footer"/>
    <w:basedOn w:val="830"/>
    <w:link w:val="687"/>
    <w:uiPriority w:val="99"/>
    <w:unhideWhenUsed w:val="1"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1"/>
    <w:link w:val="684"/>
    <w:uiPriority w:val="99"/>
  </w:style>
  <w:style w:type="paragraph" w:styleId="686">
    <w:name w:val="Caption"/>
    <w:basedOn w:val="830"/>
    <w:next w:val="830"/>
    <w:link w:val="687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9e2f2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37f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472c4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5b9bd5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664a9" w:themeColor="accent1" w:themeTint="80" w:themeShade="95"/>
        <w:b w:val="1"/>
      </w:rPr>
    </w:tblStylePr>
    <w:tblStylePr w:type="firstRow">
      <w:rPr>
        <w:color w:val="3664a9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664a9" w:themeColor="accent1" w:themeTint="80" w:themeShade="95"/>
        <w:b w:val="1"/>
      </w:rPr>
    </w:tblStylePr>
    <w:tblStylePr w:type="lastRow">
      <w:rPr>
        <w:color w:val="3664a9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606060" w:themeColor="accent3" w:themeTint="FE" w:themeShade="95"/>
        <w:b w:val="1"/>
      </w:rPr>
    </w:tblStylePr>
    <w:tblStylePr w:type="firstRow">
      <w:rPr>
        <w:color w:val="606060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606060" w:themeColor="accent3" w:themeTint="FE" w:themeShade="95"/>
        <w:b w:val="1"/>
      </w:rPr>
    </w:tblStylePr>
    <w:tblStylePr w:type="lastRow">
      <w:rPr>
        <w:color w:val="606060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45d8d" w:themeColor="accent5" w:themeShade="95"/>
        <w:b w:val="1"/>
      </w:rPr>
    </w:tblStylePr>
    <w:tblStylePr w:type="firstRow">
      <w:rPr>
        <w:color w:val="245d8d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45d8d" w:themeColor="accent5" w:themeShade="95"/>
        <w:b w:val="1"/>
      </w:rPr>
    </w:tblStylePr>
    <w:tblStylePr w:type="lastRow">
      <w:rPr>
        <w:color w:val="245d8d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664a9" w:themeColor="accent1" w:themeTint="80" w:themeShade="95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sz w:val="22"/>
        <w:color w:val="3664a9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664a9" w:themeColor="accent1" w:themeTint="80" w:themeShade="95"/>
        <w:i w:val="1"/>
      </w:rPr>
      <w:tcPr>
        <w:tcBorders>
          <w:top w:val="none" w:color="000000" w:sz="4" w:space="0"/>
          <w:start w:val="single" w:color="000000" w:themeColor="accen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3664a9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606060" w:themeColor="accent3" w:themeTint="FE" w:themeShade="95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sz w:val="22"/>
        <w:color w:val="606060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06060" w:themeColor="accent3" w:themeTint="FE" w:themeShade="95"/>
        <w:i w:val="1"/>
      </w:rPr>
      <w:tcPr>
        <w:tcBorders>
          <w:top w:val="none" w:color="000000" w:sz="4" w:space="0"/>
          <w:start w:val="single" w:color="000000" w:themeColor="accent3" w:themeTint="FE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606060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45d8d" w:themeColor="accent5" w:themeShade="95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sz w:val="22"/>
        <w:color w:val="245d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d8d" w:themeColor="accent5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45d8d" w:themeColor="accent5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d8d" w:themeColor="accent5" w:themeShade="95"/>
        <w:i w:val="1"/>
      </w:rPr>
      <w:tcPr>
        <w:tcBorders>
          <w:top w:val="none" w:color="000000" w:sz="4" w:space="0"/>
          <w:start w:val="single" w:color="000000" w:themeColor="accent5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45d8d" w:themeColor="accent5" w:themeShade="95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26429" w:themeColor="accent6" w:themeShade="95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sz w:val="22"/>
        <w:color w:val="42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26429" w:themeColor="accent6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26429" w:themeColor="accent6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26429" w:themeColor="accent6" w:themeShade="95"/>
        <w:i w:val="1"/>
      </w:rPr>
      <w:tcPr>
        <w:tcBorders>
          <w:top w:val="none" w:color="000000" w:sz="4" w:space="0"/>
          <w:start w:val="single" w:color="000000" w:themeColor="accent6" w:themeTint="9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26429" w:themeColor="accent6" w:themeShade="95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f4b18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ffd864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cc4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aad08f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cfdc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5e6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dbeb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472c4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472c4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472c4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cc4e5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cc4e5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54374" w:themeColor="accent1" w:themeShade="95"/>
        <w:b w:val="1"/>
      </w:rPr>
    </w:tblStylePr>
    <w:tblStylePr w:type="firstRow">
      <w:rPr>
        <w:color w:val="254374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54374" w:themeColor="accent1" w:themeShade="95"/>
        <w:b w:val="1"/>
      </w:rPr>
    </w:tblStylePr>
    <w:tblStylePr w:type="lastRow">
      <w:rPr>
        <w:color w:val="254374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c95712" w:themeColor="accent2" w:themeTint="97" w:themeShade="95"/>
        <w:b w:val="1"/>
      </w:rPr>
    </w:tblStylePr>
    <w:tblStylePr w:type="firstRow">
      <w:rPr>
        <w:color w:val="c95712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c95712" w:themeColor="accent2" w:themeTint="97" w:themeShade="95"/>
        <w:b w:val="1"/>
      </w:rPr>
    </w:tblStylePr>
    <w:tblStylePr w:type="lastRow">
      <w:rPr>
        <w:color w:val="c95712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57575" w:themeColor="accent3" w:themeTint="98" w:themeShade="95"/>
        <w:b w:val="1"/>
      </w:rPr>
    </w:tblStylePr>
    <w:tblStylePr w:type="firstRow">
      <w:rPr>
        <w:color w:val="757575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57575" w:themeColor="accent3" w:themeTint="98" w:themeShade="95"/>
        <w:b w:val="1"/>
      </w:rPr>
    </w:tblStylePr>
    <w:tblStylePr w:type="lastRow">
      <w:rPr>
        <w:color w:val="757575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cd9600" w:themeColor="accent4" w:themeTint="9A" w:themeShade="95"/>
        <w:b w:val="1"/>
      </w:rPr>
    </w:tblStylePr>
    <w:tblStylePr w:type="firstRow">
      <w:rPr>
        <w:color w:val="cd9600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cd9600" w:themeColor="accent4" w:themeTint="9A" w:themeShade="95"/>
        <w:b w:val="1"/>
      </w:rPr>
    </w:tblStylePr>
    <w:tblStylePr w:type="lastRow">
      <w:rPr>
        <w:color w:val="cd9600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2e78b1" w:themeColor="accent5" w:themeTint="9A" w:themeShade="95"/>
        <w:b w:val="1"/>
      </w:rPr>
    </w:tblStylePr>
    <w:tblStylePr w:type="firstRow">
      <w:rPr>
        <w:color w:val="2e78b1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2e78b1" w:themeColor="accent5" w:themeTint="9A" w:themeShade="95"/>
        <w:b w:val="1"/>
      </w:rPr>
    </w:tblStylePr>
    <w:tblStylePr w:type="lastRow">
      <w:rPr>
        <w:color w:val="2e78b1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5f8f3c" w:themeColor="accent6" w:themeTint="98" w:themeShade="95"/>
        <w:b w:val="1"/>
      </w:rPr>
    </w:tblStylePr>
    <w:tblStylePr w:type="firstRow">
      <w:rPr>
        <w:color w:val="5f8f3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5f8f3c" w:themeColor="accent6" w:themeTint="98" w:themeShade="95"/>
        <w:b w:val="1"/>
      </w:rPr>
    </w:tblStylePr>
    <w:tblStylePr w:type="lastRow">
      <w:rPr>
        <w:color w:val="5f8f3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color="000000" w:sz="4" w:space="0"/>
          <w:start w:val="single" w:color="000000" w:themeColor="text1" w:themeTint="8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54374" w:themeColor="accent1" w:themeShade="95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sz w:val="22"/>
        <w:color w:val="254374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374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374" w:themeColor="accent1" w:themeShade="95"/>
        <w:i w:val="1"/>
      </w:rPr>
      <w:tcPr>
        <w:tcBorders>
          <w:top w:val="none" w:color="000000" w:sz="4" w:space="0"/>
          <w:start w:val="single" w:color="000000" w:themeColor="accent1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54374" w:themeColor="accent1" w:themeShade="95"/>
        <w:i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54374" w:themeColor="accent1" w:themeShade="95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c95712" w:themeColor="accent2" w:themeTint="97" w:themeShade="95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c95712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none" w:color="000000" w:sz="4" w:space="0"/>
          <w:start w:val="single" w:color="000000" w:themeColor="accent2" w:themeTint="97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c95712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95712" w:themeColor="accent2" w:themeTint="97" w:themeShade="95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57575" w:themeColor="accent3" w:themeTint="98" w:themeShade="95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757575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none" w:color="000000" w:sz="4" w:space="0"/>
          <w:start w:val="single" w:color="000000" w:themeColor="accent3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757575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57575" w:themeColor="accent3" w:themeTint="98" w:themeShade="95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cd9600" w:themeColor="accent4" w:themeTint="9A" w:themeShade="95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cd9600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none" w:color="000000" w:sz="4" w:space="0"/>
          <w:start w:val="single" w:color="000000" w:themeColor="accent4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cd9600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cd9600" w:themeColor="accent4" w:themeTint="9A" w:themeShade="95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2e78b1" w:themeColor="accent5" w:themeTint="9A" w:themeShade="95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sz w:val="22"/>
        <w:color w:val="2e78b1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none" w:color="000000" w:sz="4" w:space="0"/>
          <w:start w:val="single" w:color="000000" w:themeColor="accent5" w:themeTint="9A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2e78b1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e78b1" w:themeColor="accent5" w:themeTint="9A" w:themeShade="95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5f8f3c" w:themeColor="accent6" w:themeTint="98" w:themeShade="95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sz w:val="22"/>
        <w:color w:val="5f8f3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none" w:color="000000" w:sz="4" w:space="0"/>
          <w:start w:val="single" w:color="000000" w:themeColor="accent6" w:themeTint="98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rFonts w:ascii="Arial" w:hAnsi="Arial"/>
        <w:sz w:val="22"/>
        <w:color w:val="5f8f3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5f8f3c" w:themeColor="accent6" w:themeTint="98" w:themeShade="95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799">
    <w:name w:val="Bordered &amp;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37fc8" w:themeFill="accent1" w:themeFillTint="EA"/>
      </w:tcPr>
    </w:tblStylePr>
  </w:style>
  <w:style w:type="table" w:styleId="801">
    <w:name w:val="Bordered &amp;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5b9bd5" w:themeFill="accent5"/>
      </w:tcPr>
    </w:tblStylePr>
  </w:style>
  <w:style w:type="table" w:styleId="805">
    <w:name w:val="Bordered &amp;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 w:val="1"/>
    <w:rPr>
      <w:vertAlign w:val="superscript"/>
    </w:rPr>
  </w:style>
  <w:style w:type="paragraph" w:styleId="816">
    <w:name w:val="endnote text"/>
    <w:basedOn w:val="830"/>
    <w:link w:val="817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 w:val="1"/>
    <w:unhideWhenUsed w:val="1"/>
    <w:rPr>
      <w:vertAlign w:val="superscript"/>
    </w:rPr>
  </w:style>
  <w:style w:type="paragraph" w:styleId="819">
    <w:name w:val="toc 1"/>
    <w:basedOn w:val="830"/>
    <w:next w:val="830"/>
    <w:uiPriority w:val="39"/>
    <w:unhideWhenUsed w:val="1"/>
    <w:pPr>
      <w:spacing w:after="57"/>
      <w:ind w:start="0" w:end="0" w:firstLine="0"/>
    </w:pPr>
  </w:style>
  <w:style w:type="paragraph" w:styleId="820">
    <w:name w:val="toc 2"/>
    <w:basedOn w:val="830"/>
    <w:next w:val="830"/>
    <w:uiPriority w:val="39"/>
    <w:unhideWhenUsed w:val="1"/>
    <w:pPr>
      <w:spacing w:after="57"/>
      <w:ind w:start="283" w:end="0" w:firstLine="0"/>
    </w:pPr>
  </w:style>
  <w:style w:type="paragraph" w:styleId="821">
    <w:name w:val="toc 3"/>
    <w:basedOn w:val="830"/>
    <w:next w:val="830"/>
    <w:uiPriority w:val="39"/>
    <w:unhideWhenUsed w:val="1"/>
    <w:pPr>
      <w:spacing w:after="57"/>
      <w:ind w:start="567" w:end="0" w:firstLine="0"/>
    </w:pPr>
  </w:style>
  <w:style w:type="paragraph" w:styleId="822">
    <w:name w:val="toc 4"/>
    <w:basedOn w:val="830"/>
    <w:next w:val="830"/>
    <w:uiPriority w:val="39"/>
    <w:unhideWhenUsed w:val="1"/>
    <w:pPr>
      <w:spacing w:after="57"/>
      <w:ind w:start="850" w:end="0" w:firstLine="0"/>
    </w:pPr>
  </w:style>
  <w:style w:type="paragraph" w:styleId="823">
    <w:name w:val="toc 5"/>
    <w:basedOn w:val="830"/>
    <w:next w:val="830"/>
    <w:uiPriority w:val="39"/>
    <w:unhideWhenUsed w:val="1"/>
    <w:pPr>
      <w:spacing w:after="57"/>
      <w:ind w:start="1134" w:end="0" w:firstLine="0"/>
    </w:pPr>
  </w:style>
  <w:style w:type="paragraph" w:styleId="824">
    <w:name w:val="toc 6"/>
    <w:basedOn w:val="830"/>
    <w:next w:val="830"/>
    <w:uiPriority w:val="39"/>
    <w:unhideWhenUsed w:val="1"/>
    <w:pPr>
      <w:spacing w:after="57"/>
      <w:ind w:start="1417" w:end="0" w:firstLine="0"/>
    </w:pPr>
  </w:style>
  <w:style w:type="paragraph" w:styleId="825">
    <w:name w:val="toc 7"/>
    <w:basedOn w:val="830"/>
    <w:next w:val="830"/>
    <w:uiPriority w:val="39"/>
    <w:unhideWhenUsed w:val="1"/>
    <w:pPr>
      <w:spacing w:after="57"/>
      <w:ind w:start="1701" w:end="0" w:firstLine="0"/>
    </w:pPr>
  </w:style>
  <w:style w:type="paragraph" w:styleId="826">
    <w:name w:val="toc 8"/>
    <w:basedOn w:val="830"/>
    <w:next w:val="830"/>
    <w:uiPriority w:val="39"/>
    <w:unhideWhenUsed w:val="1"/>
    <w:pPr>
      <w:spacing w:after="57"/>
      <w:ind w:start="1984" w:end="0" w:firstLine="0"/>
    </w:pPr>
  </w:style>
  <w:style w:type="paragraph" w:styleId="827">
    <w:name w:val="toc 9"/>
    <w:basedOn w:val="830"/>
    <w:next w:val="830"/>
    <w:uiPriority w:val="39"/>
    <w:unhideWhenUsed w:val="1"/>
    <w:pPr>
      <w:spacing w:after="57"/>
      <w:ind w:start="2268" w:end="0" w:firstLine="0"/>
    </w:pPr>
  </w:style>
  <w:style w:type="paragraph" w:styleId="828">
    <w:name w:val="TOC Heading"/>
    <w:uiPriority w:val="39"/>
    <w:unhideWhenUsed w:val="1"/>
  </w:style>
  <w:style w:type="paragraph" w:styleId="829">
    <w:name w:val="table of figures"/>
    <w:basedOn w:val="830"/>
    <w:next w:val="830"/>
    <w:uiPriority w:val="99"/>
    <w:unhideWhenUsed w:val="1"/>
    <w:pPr>
      <w:spacing w:after="0" w:afterAutospacing="0"/>
    </w:pPr>
  </w:style>
  <w:style w:type="paragraph" w:styleId="830" w:default="1">
    <w:name w:val="Normal"/>
    <w:qFormat w:val="1"/>
    <w:rPr>
      <w14:ligatures w14:val="standardContextual"/>
    </w:rPr>
  </w:style>
  <w:style w:type="character" w:styleId="831" w:default="1">
    <w:name w:val="Default Paragraph Font"/>
    <w:uiPriority w:val="1"/>
    <w:semiHidden w:val="1"/>
    <w:unhideWhenUsed w:val="1"/>
  </w:style>
  <w:style w:type="table" w:styleId="832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833" w:default="1">
    <w:name w:val="No List"/>
    <w:uiPriority w:val="99"/>
    <w:semiHidden w:val="1"/>
    <w:unhideWhenUsed w:val="1"/>
  </w:style>
  <w:style w:type="paragraph" w:styleId="834">
    <w:name w:val="Normal (Web)"/>
    <w:basedOn w:val="830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14:ligatures w14:val="none"/>
    </w:rPr>
  </w:style>
  <w:style w:type="character" w:styleId="835">
    <w:name w:val="Strong"/>
    <w:basedOn w:val="831"/>
    <w:uiPriority w:val="22"/>
    <w:qFormat w:val="1"/>
    <w:rPr>
      <w:b w:val="1"/>
      <w:bCs w:val="1"/>
    </w:rPr>
  </w:style>
  <w:style w:type="character" w:styleId="836">
    <w:name w:val="Hyperlink"/>
    <w:basedOn w:val="831"/>
    <w:uiPriority w:val="99"/>
    <w:unhideWhenUsed w:val="1"/>
    <w:rPr>
      <w:color w:val="0000ff"/>
      <w:u w:val="single"/>
    </w:rPr>
  </w:style>
  <w:style w:type="paragraph" w:styleId="837" w:customStyle="1">
    <w:name w:val="c0"/>
    <w:basedOn w:val="8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14:ligatures w14:val="none"/>
    </w:rPr>
  </w:style>
  <w:style w:type="table" w:styleId="838">
    <w:name w:val="Table Grid"/>
    <w:basedOn w:val="832"/>
    <w:uiPriority w:val="39"/>
    <w:pPr>
      <w:spacing w:after="0" w:line="240" w:lineRule="auto"/>
    </w:pPr>
    <w:rPr>
      <w14:ligatures w14:val="standardContextu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sz w:val="24"/>
      <w:color w:val="000000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endnotes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Пользователь</dc:creator>
  <cp:keywords/>
  <dc:description/>
  <cp:lastModifiedBy>Anonymous</cp:lastModifiedBy>
  <cp:revision>25</cp:revision>
  <dcterms:created xsi:type="dcterms:W3CDTF">2025-05-16T11:23:00Z</dcterms:created>
  <dcterms:modified xsi:type="dcterms:W3CDTF">2025-07-26T14:04:54Z</dcterms:modified>
</cp:coreProperties>
</file>